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44755">
      <w:pPr>
        <w:pStyle w:val="2"/>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山东耐材集团鲁耐窑业有限公司</w:t>
      </w:r>
    </w:p>
    <w:p w14:paraId="1257AB0A">
      <w:pPr>
        <w:pStyle w:val="2"/>
        <w:rPr>
          <w:color w:val="000000" w:themeColor="text1"/>
          <w:highlight w:val="none"/>
          <w14:textFill>
            <w14:solidFill>
              <w14:schemeClr w14:val="tx1"/>
            </w14:solidFill>
          </w14:textFill>
        </w:rPr>
      </w:pPr>
      <w:bookmarkStart w:id="0" w:name="_GoBack"/>
      <w:r>
        <w:rPr>
          <w:rFonts w:hint="eastAsia"/>
          <w:color w:val="000000" w:themeColor="text1"/>
          <w:highlight w:val="none"/>
          <w:lang w:eastAsia="zh-CN"/>
          <w14:textFill>
            <w14:solidFill>
              <w14:schemeClr w14:val="tx1"/>
            </w14:solidFill>
          </w14:textFill>
        </w:rPr>
        <w:t>钇稳定氧化锆采购公开招标（二次）</w:t>
      </w:r>
      <w:r>
        <w:rPr>
          <w:rFonts w:hint="eastAsia"/>
          <w:color w:val="000000" w:themeColor="text1"/>
          <w:highlight w:val="none"/>
          <w14:textFill>
            <w14:solidFill>
              <w14:schemeClr w14:val="tx1"/>
            </w14:solidFill>
          </w14:textFill>
        </w:rPr>
        <w:t>公告</w:t>
      </w:r>
      <w:bookmarkEnd w:id="0"/>
    </w:p>
    <w:p w14:paraId="11ECE74B">
      <w:pPr>
        <w:pStyle w:val="3"/>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一、招标条件</w:t>
      </w:r>
    </w:p>
    <w:p w14:paraId="48E01F0D">
      <w:pPr>
        <w:pStyle w:val="11"/>
        <w:adjustRightInd/>
        <w:snapToGrid/>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本招标项目为</w:t>
      </w:r>
      <w:r>
        <w:rPr>
          <w:rFonts w:hint="eastAsia"/>
          <w:color w:val="000000" w:themeColor="text1"/>
          <w:highlight w:val="none"/>
          <w:lang w:eastAsia="zh-CN"/>
          <w14:textFill>
            <w14:solidFill>
              <w14:schemeClr w14:val="tx1"/>
            </w14:solidFill>
          </w14:textFill>
        </w:rPr>
        <w:t>山东耐材集团鲁耐窑业有限公司钇稳定氧化锆采购公开招标（</w:t>
      </w:r>
      <w:r>
        <w:rPr>
          <w:rFonts w:hint="eastAsia"/>
          <w:color w:val="000000" w:themeColor="text1"/>
          <w:highlight w:val="none"/>
          <w:lang w:val="en-US" w:eastAsia="zh-CN"/>
          <w14:textFill>
            <w14:solidFill>
              <w14:schemeClr w14:val="tx1"/>
            </w14:solidFill>
          </w14:textFill>
        </w:rPr>
        <w:t>二次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，招标人为</w:t>
      </w:r>
      <w:r>
        <w:rPr>
          <w:rFonts w:hint="eastAsia"/>
          <w:color w:val="000000" w:themeColor="text1"/>
          <w:highlight w:val="none"/>
          <w:lang w:eastAsia="zh-CN"/>
          <w14:textFill>
            <w14:solidFill>
              <w14:schemeClr w14:val="tx1"/>
            </w14:solidFill>
          </w14:textFill>
        </w:rPr>
        <w:t>山东耐材集团鲁耐窑业有限公司</w:t>
      </w:r>
      <w:r>
        <w:rPr>
          <w:rFonts w:hint="eastAsia"/>
          <w:color w:val="000000" w:themeColor="text1"/>
          <w:highlight w:val="none"/>
          <w14:textFill>
            <w14:solidFill>
              <w14:schemeClr w14:val="tx1"/>
            </w14:solidFill>
          </w14:textFill>
        </w:rPr>
        <w:t>，</w:t>
      </w:r>
      <w:r>
        <w:rPr>
          <w:rFonts w:hint="eastAsia" w:ascii="Arial" w:hAnsi="Arial" w:eastAsia="宋体" w:cs="Times New Roman"/>
          <w:color w:val="000000" w:themeColor="text1"/>
          <w:highlight w:val="none"/>
          <w:lang w:eastAsia="zh-CN"/>
          <w14:textFill>
            <w14:solidFill>
              <w14:schemeClr w14:val="tx1"/>
            </w14:solidFill>
          </w14:textFill>
        </w:rPr>
        <w:t>招标项目资金来自自筹（资金来源），出资比例为100%。该项目已具备招标条件，现对</w:t>
      </w:r>
      <w:r>
        <w:rPr>
          <w:rFonts w:hint="eastAsia"/>
          <w:color w:val="000000" w:themeColor="text1"/>
          <w:highlight w:val="none"/>
          <w:lang w:eastAsia="zh-CN"/>
          <w14:textFill>
            <w14:solidFill>
              <w14:schemeClr w14:val="tx1"/>
            </w14:solidFill>
          </w14:textFill>
        </w:rPr>
        <w:t>钇稳定氧化锆采购</w:t>
      </w:r>
      <w:r>
        <w:rPr>
          <w:rFonts w:hint="eastAsia" w:ascii="Arial" w:hAnsi="Arial" w:eastAsia="宋体" w:cs="Times New Roman"/>
          <w:color w:val="000000" w:themeColor="text1"/>
          <w:highlight w:val="none"/>
          <w:lang w:eastAsia="zh-CN"/>
          <w14:textFill>
            <w14:solidFill>
              <w14:schemeClr w14:val="tx1"/>
            </w14:solidFill>
          </w14:textFill>
        </w:rPr>
        <w:t>进行公开招标</w:t>
      </w:r>
      <w:r>
        <w:rPr>
          <w:rFonts w:hint="eastAsia"/>
          <w:color w:val="000000" w:themeColor="text1"/>
          <w:highlight w:val="none"/>
          <w14:textFill>
            <w14:solidFill>
              <w14:schemeClr w14:val="tx1"/>
            </w14:solidFill>
          </w14:textFill>
        </w:rPr>
        <w:t>。</w:t>
      </w:r>
    </w:p>
    <w:p w14:paraId="5702A135">
      <w:pPr>
        <w:pStyle w:val="3"/>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二、项目概况与招标范围</w:t>
      </w:r>
    </w:p>
    <w:p w14:paraId="65F960D1">
      <w:pPr>
        <w:pStyle w:val="11"/>
        <w:adjustRightInd/>
        <w:snapToGrid/>
        <w:ind w:firstLine="420"/>
        <w:rPr>
          <w:rFonts w:cs="Arial"/>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（一）项目概况</w:t>
      </w:r>
    </w:p>
    <w:p w14:paraId="15ED0826">
      <w:pPr>
        <w:pStyle w:val="11"/>
        <w:adjustRightInd/>
        <w:snapToGrid/>
        <w:ind w:firstLine="42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山东耐材集团鲁耐窑业有限公司钇稳定氧化锆采购公开招标（</w:t>
      </w:r>
      <w:r>
        <w:rPr>
          <w:rFonts w:hint="eastAsia"/>
          <w:color w:val="000000" w:themeColor="text1"/>
          <w:highlight w:val="none"/>
          <w:lang w:val="en-US" w:eastAsia="zh-CN"/>
          <w14:textFill>
            <w14:solidFill>
              <w14:schemeClr w14:val="tx1"/>
            </w14:solidFill>
          </w14:textFill>
        </w:rPr>
        <w:t>二次</w:t>
      </w:r>
      <w:r>
        <w:rPr>
          <w:rFonts w:hint="eastAsia"/>
          <w:color w:val="000000" w:themeColor="text1"/>
          <w:highlight w:val="none"/>
          <w:lang w:eastAsia="zh-CN"/>
          <w14:textFill>
            <w14:solidFill>
              <w14:schemeClr w14:val="tx1"/>
            </w14:solidFill>
          </w14:textFill>
        </w:rPr>
        <w:t>）</w:t>
      </w:r>
    </w:p>
    <w:p w14:paraId="15B06F8E">
      <w:pPr>
        <w:pStyle w:val="11"/>
        <w:adjustRightInd/>
        <w:snapToGrid/>
        <w:ind w:firstLine="420"/>
        <w:rPr>
          <w:rFonts w:hint="eastAsia" w:ascii="宋体" w:hAnsi="宋体" w:eastAsia="宋体" w:cs="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招标编号：</w:t>
      </w:r>
      <w:r>
        <w:rPr>
          <w:rFonts w:hint="eastAsia" w:ascii="宋体" w:hAnsi="宋体" w:cs="宋体"/>
          <w:color w:val="000000" w:themeColor="text1"/>
          <w:highlight w:val="none"/>
          <w:lang w:eastAsia="zh-CN"/>
          <w14:textFill>
            <w14:solidFill>
              <w14:schemeClr w14:val="tx1"/>
            </w14:solidFill>
          </w14:textFill>
        </w:rPr>
        <w:t>82142726031052</w:t>
      </w:r>
    </w:p>
    <w:p w14:paraId="6B89039B">
      <w:pPr>
        <w:pStyle w:val="11"/>
        <w:adjustRightInd/>
        <w:snapToGrid/>
        <w:ind w:firstLine="42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（二）招标范围及相关要求</w:t>
      </w:r>
    </w:p>
    <w:p w14:paraId="14456E2E">
      <w:pPr>
        <w:pStyle w:val="11"/>
        <w:adjustRightInd/>
        <w:snapToGrid/>
        <w:ind w:firstLine="420"/>
        <w:rPr>
          <w:rFonts w:hint="eastAsia" w:ascii="宋体" w:hAnsi="宋体" w:cs="宋体"/>
          <w:b/>
          <w:color w:val="auto"/>
          <w:sz w:val="21"/>
          <w:szCs w:val="21"/>
          <w:highlight w:val="none"/>
          <w:lang w:val="en-US"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本次招标为</w:t>
      </w:r>
      <w:r>
        <w:rPr>
          <w:rFonts w:hint="eastAsia" w:ascii="宋体" w:hAnsi="宋体" w:cs="宋体"/>
          <w:color w:val="auto"/>
          <w:highlight w:val="none"/>
          <w:lang w:eastAsia="zh-CN"/>
        </w:rPr>
        <w:t>山东耐材集团鲁耐窑业有限公司钇稳定氧化锆采购</w:t>
      </w:r>
      <w:r>
        <w:rPr>
          <w:rFonts w:hint="eastAsia" w:ascii="宋体" w:hAnsi="宋体" w:eastAsia="宋体" w:cs="宋体"/>
          <w:color w:val="auto"/>
          <w:highlight w:val="none"/>
          <w:lang w:eastAsia="zh-CN"/>
        </w:rPr>
        <w:t>公开招标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二次</w:t>
      </w:r>
      <w:r>
        <w:rPr>
          <w:rFonts w:hint="eastAsia"/>
          <w:color w:val="000000" w:themeColor="text1"/>
          <w:highlight w:val="none"/>
          <w:lang w:eastAsia="zh-CN"/>
          <w14:textFill>
            <w14:solidFill>
              <w14:schemeClr w14:val="tx1"/>
            </w14:solidFill>
          </w14:textFill>
        </w:rPr>
        <w:t>）</w:t>
      </w:r>
      <w:r>
        <w:rPr>
          <w:rFonts w:hint="eastAsia" w:ascii="宋体" w:hAnsi="宋体" w:eastAsia="宋体" w:cs="宋体"/>
          <w:color w:val="auto"/>
          <w:highlight w:val="none"/>
        </w:rPr>
        <w:t>，</w:t>
      </w:r>
      <w:r>
        <w:rPr>
          <w:rFonts w:hint="eastAsia" w:ascii="宋体" w:hAnsi="宋体" w:cs="宋体"/>
          <w:color w:val="auto"/>
          <w:highlight w:val="none"/>
          <w:lang w:val="en-US" w:eastAsia="zh-CN"/>
        </w:rPr>
        <w:t>采购钇稳定氧化锆颗粒/细粉65吨，</w:t>
      </w:r>
      <w:r>
        <w:rPr>
          <w:rFonts w:hint="eastAsia" w:ascii="宋体" w:hAnsi="宋体" w:cs="宋体"/>
          <w:color w:val="auto"/>
          <w:sz w:val="21"/>
          <w:szCs w:val="21"/>
        </w:rPr>
        <w:t>其中砂约45吨，球20吨</w:t>
      </w:r>
      <w:r>
        <w:rPr>
          <w:rFonts w:hint="eastAsia" w:ascii="宋体" w:hAnsi="宋体"/>
          <w:color w:val="auto"/>
          <w:highlight w:val="none"/>
          <w:lang w:val="en-US" w:eastAsia="zh-CN"/>
        </w:rPr>
        <w:t>。</w:t>
      </w:r>
      <w:r>
        <w:rPr>
          <w:rFonts w:hint="eastAsia"/>
          <w:b w:val="0"/>
          <w:bCs/>
          <w:color w:val="auto"/>
          <w:highlight w:val="none"/>
        </w:rPr>
        <w:t>投标报价包括</w:t>
      </w:r>
      <w:r>
        <w:rPr>
          <w:rFonts w:hint="eastAsia"/>
          <w:b w:val="0"/>
          <w:bCs/>
          <w:color w:val="auto"/>
          <w:highlight w:val="none"/>
          <w:lang w:val="en-US" w:eastAsia="zh-CN"/>
        </w:rPr>
        <w:t>供货、</w:t>
      </w:r>
      <w:r>
        <w:rPr>
          <w:rFonts w:hint="eastAsia" w:ascii="宋体" w:hAnsi="宋体" w:eastAsia="宋体" w:cs="宋体"/>
          <w:color w:val="auto"/>
          <w:highlight w:val="none"/>
        </w:rPr>
        <w:t>包装、</w:t>
      </w:r>
      <w:r>
        <w:rPr>
          <w:rFonts w:hint="eastAsia" w:cs="Times New Roman"/>
          <w:color w:val="auto"/>
          <w:highlight w:val="none"/>
          <w:lang w:val="en-US" w:eastAsia="zh-CN"/>
        </w:rPr>
        <w:t>装车、</w:t>
      </w:r>
      <w:r>
        <w:rPr>
          <w:rFonts w:hint="eastAsia" w:ascii="宋体" w:hAnsi="宋体" w:eastAsia="宋体" w:cs="宋体"/>
          <w:color w:val="auto"/>
          <w:highlight w:val="none"/>
        </w:rPr>
        <w:t>运输</w:t>
      </w:r>
      <w:r>
        <w:rPr>
          <w:rFonts w:hint="eastAsia" w:ascii="Arial" w:hAnsi="Arial" w:eastAsia="宋体" w:cs="Times New Roman"/>
          <w:color w:val="auto"/>
          <w:highlight w:val="none"/>
          <w:lang w:eastAsia="zh-CN"/>
        </w:rPr>
        <w:t>、</w:t>
      </w:r>
      <w:r>
        <w:rPr>
          <w:rFonts w:hint="eastAsia"/>
          <w:color w:val="auto"/>
          <w:highlight w:val="none"/>
        </w:rPr>
        <w:t>税费（1</w:t>
      </w:r>
      <w:r>
        <w:rPr>
          <w:color w:val="auto"/>
          <w:highlight w:val="none"/>
        </w:rPr>
        <w:t>3</w:t>
      </w:r>
      <w:r>
        <w:rPr>
          <w:rFonts w:hint="eastAsia"/>
          <w:color w:val="auto"/>
          <w:highlight w:val="none"/>
        </w:rPr>
        <w:t>%）等所有费用，</w:t>
      </w:r>
      <w:r>
        <w:rPr>
          <w:rFonts w:hint="eastAsia" w:ascii="宋体" w:hAnsi="宋体" w:eastAsia="宋体" w:cs="宋体"/>
          <w:color w:val="auto"/>
          <w:highlight w:val="none"/>
        </w:rPr>
        <w:t>投标方免费运输至招标人指定地点</w:t>
      </w:r>
      <w:r>
        <w:rPr>
          <w:rFonts w:hint="eastAsia"/>
          <w:color w:val="auto"/>
          <w:highlight w:val="none"/>
        </w:rPr>
        <w:t>（</w:t>
      </w:r>
      <w:r>
        <w:rPr>
          <w:rFonts w:hint="eastAsia" w:ascii="宋体" w:hAnsi="宋体" w:eastAsia="宋体" w:cs="宋体"/>
          <w:color w:val="auto"/>
          <w:kern w:val="0"/>
          <w:sz w:val="21"/>
          <w:szCs w:val="21"/>
          <w:highlight w:val="none"/>
          <w:lang w:val="en-US" w:eastAsia="zh-CN" w:bidi="ar-SA"/>
        </w:rPr>
        <w:t>具体技术参数及要求以招标文件技术要求为准</w:t>
      </w:r>
      <w:r>
        <w:rPr>
          <w:rFonts w:hint="eastAsia"/>
          <w:color w:val="auto"/>
          <w:highlight w:val="none"/>
        </w:rPr>
        <w:t>）。</w:t>
      </w:r>
    </w:p>
    <w:p w14:paraId="4029200C">
      <w:pPr>
        <w:pStyle w:val="6"/>
        <w:spacing w:line="360" w:lineRule="auto"/>
        <w:ind w:left="0" w:firstLine="420" w:firstLineChars="200"/>
        <w:rPr>
          <w:rFonts w:hint="eastAsia" w:ascii="宋体" w:hAnsi="宋体" w:eastAsia="宋体" w:cs="宋体"/>
          <w:color w:val="auto"/>
          <w:sz w:val="21"/>
          <w:szCs w:val="21"/>
          <w:highlight w:val="none"/>
        </w:rPr>
      </w:pPr>
      <w:r>
        <w:rPr>
          <w:rFonts w:hint="eastAsia" w:ascii="宋体" w:hAnsi="宋体" w:eastAsia="宋体" w:cs="Times New Roman"/>
          <w:b w:val="0"/>
          <w:bCs w:val="0"/>
          <w:color w:val="auto"/>
          <w:kern w:val="2"/>
          <w:sz w:val="21"/>
          <w:szCs w:val="21"/>
          <w:highlight w:val="none"/>
          <w:lang w:val="en-US" w:eastAsia="zh-CN" w:bidi="ar-SA"/>
        </w:rPr>
        <w:t>2、</w:t>
      </w:r>
      <w:r>
        <w:rPr>
          <w:rFonts w:hint="eastAsia" w:ascii="宋体" w:hAnsi="宋体" w:cs="Times New Roman"/>
          <w:b w:val="0"/>
          <w:bCs w:val="0"/>
          <w:color w:val="auto"/>
          <w:kern w:val="2"/>
          <w:sz w:val="21"/>
          <w:szCs w:val="21"/>
          <w:highlight w:val="none"/>
          <w:lang w:val="en-US" w:eastAsia="zh-CN" w:bidi="ar-SA"/>
        </w:rPr>
        <w:t>采购明细</w:t>
      </w:r>
      <w:r>
        <w:rPr>
          <w:rFonts w:hint="eastAsia" w:ascii="宋体" w:hAnsi="宋体" w:eastAsia="宋体" w:cs="宋体"/>
          <w:color w:val="auto"/>
          <w:sz w:val="21"/>
          <w:szCs w:val="21"/>
          <w:highlight w:val="none"/>
        </w:rPr>
        <w:t>：</w:t>
      </w:r>
    </w:p>
    <w:tbl>
      <w:tblPr>
        <w:tblStyle w:val="8"/>
        <w:tblW w:w="85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9"/>
        <w:gridCol w:w="3047"/>
        <w:gridCol w:w="1404"/>
        <w:gridCol w:w="1336"/>
        <w:gridCol w:w="2070"/>
      </w:tblGrid>
      <w:tr w14:paraId="6A974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exact"/>
          <w:jc w:val="center"/>
        </w:trPr>
        <w:tc>
          <w:tcPr>
            <w:tcW w:w="719" w:type="dxa"/>
            <w:vAlign w:val="center"/>
          </w:tcPr>
          <w:p w14:paraId="2DCEAC68">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3047" w:type="dxa"/>
            <w:vAlign w:val="center"/>
          </w:tcPr>
          <w:p w14:paraId="1D461A99">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物料描述</w:t>
            </w:r>
          </w:p>
        </w:tc>
        <w:tc>
          <w:tcPr>
            <w:tcW w:w="1404" w:type="dxa"/>
            <w:vAlign w:val="center"/>
          </w:tcPr>
          <w:p w14:paraId="0057C8D3">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规格型号</w:t>
            </w:r>
          </w:p>
          <w:p w14:paraId="0216170D">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/区间</w:t>
            </w:r>
          </w:p>
        </w:tc>
        <w:tc>
          <w:tcPr>
            <w:tcW w:w="1336" w:type="dxa"/>
            <w:vAlign w:val="center"/>
          </w:tcPr>
          <w:p w14:paraId="7CC644F7">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数量（吨）</w:t>
            </w:r>
          </w:p>
        </w:tc>
        <w:tc>
          <w:tcPr>
            <w:tcW w:w="2070" w:type="dxa"/>
            <w:vAlign w:val="center"/>
          </w:tcPr>
          <w:p w14:paraId="7BB1C14A">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w:t>
            </w:r>
          </w:p>
        </w:tc>
      </w:tr>
      <w:tr w14:paraId="5E05F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9" w:hRule="exact"/>
          <w:jc w:val="center"/>
        </w:trPr>
        <w:tc>
          <w:tcPr>
            <w:tcW w:w="719" w:type="dxa"/>
            <w:vAlign w:val="center"/>
          </w:tcPr>
          <w:p w14:paraId="4A1ACFD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047" w:type="dxa"/>
            <w:vAlign w:val="center"/>
          </w:tcPr>
          <w:p w14:paraId="6FBE75E6">
            <w:pPr>
              <w:keepNext w:val="0"/>
              <w:keepLines w:val="0"/>
              <w:widowControl/>
              <w:suppressLineNumbers w:val="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白色</w:t>
            </w:r>
            <w:r>
              <w:rPr>
                <w:rFonts w:hint="eastAsia" w:ascii="宋体" w:hAnsi="宋体" w:eastAsia="宋体" w:cs="宋体"/>
                <w:color w:val="auto"/>
                <w:sz w:val="21"/>
                <w:szCs w:val="21"/>
                <w:highlight w:val="none"/>
                <w:lang w:eastAsia="zh-CN"/>
              </w:rPr>
              <w:t>钇稳定电熔氧化锆（</w:t>
            </w:r>
            <w:r>
              <w:rPr>
                <w:rFonts w:hint="eastAsia" w:ascii="宋体" w:hAnsi="宋体" w:eastAsia="宋体" w:cs="宋体"/>
                <w:color w:val="auto"/>
                <w:sz w:val="21"/>
                <w:szCs w:val="21"/>
                <w:highlight w:val="none"/>
                <w:lang w:val="en-US" w:eastAsia="zh-CN"/>
              </w:rPr>
              <w:t>砂</w:t>
            </w:r>
            <w:r>
              <w:rPr>
                <w:rFonts w:hint="eastAsia" w:ascii="宋体" w:hAnsi="宋体" w:eastAsia="宋体" w:cs="宋体"/>
                <w:color w:val="auto"/>
                <w:sz w:val="21"/>
                <w:szCs w:val="21"/>
                <w:highlight w:val="none"/>
                <w:lang w:eastAsia="zh-CN"/>
              </w:rPr>
              <w:t>）</w:t>
            </w:r>
          </w:p>
        </w:tc>
        <w:tc>
          <w:tcPr>
            <w:tcW w:w="1404" w:type="dxa"/>
            <w:vAlign w:val="center"/>
          </w:tcPr>
          <w:p w14:paraId="22D58782">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cs="宋体"/>
                <w:i w:val="0"/>
                <w:color w:val="auto"/>
                <w:kern w:val="0"/>
                <w:sz w:val="21"/>
                <w:szCs w:val="21"/>
                <w:highlight w:val="none"/>
                <w:u w:val="none"/>
                <w:lang w:val="en-US" w:eastAsia="zh-CN" w:bidi="ar"/>
              </w:rPr>
              <w:t>325目/</w:t>
            </w:r>
            <w:r>
              <w:rPr>
                <w:rFonts w:hint="eastAsia" w:ascii="宋体" w:hAnsi="宋体" w:eastAsia="宋体" w:cs="宋体"/>
                <w:i w:val="0"/>
                <w:color w:val="auto"/>
                <w:kern w:val="0"/>
                <w:sz w:val="21"/>
                <w:szCs w:val="21"/>
                <w:highlight w:val="none"/>
                <w:u w:val="none"/>
                <w:lang w:val="en-US" w:eastAsia="zh-CN" w:bidi="ar"/>
              </w:rPr>
              <w:t>0.5-10mm</w:t>
            </w:r>
          </w:p>
        </w:tc>
        <w:tc>
          <w:tcPr>
            <w:tcW w:w="1336" w:type="dxa"/>
            <w:vAlign w:val="center"/>
          </w:tcPr>
          <w:p w14:paraId="1341987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45</w:t>
            </w:r>
          </w:p>
        </w:tc>
        <w:tc>
          <w:tcPr>
            <w:tcW w:w="2070" w:type="dxa"/>
            <w:vMerge w:val="restart"/>
            <w:vAlign w:val="center"/>
          </w:tcPr>
          <w:p w14:paraId="74B61747">
            <w:pPr>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数量为预估，结算数量以实际供货数量为准</w:t>
            </w:r>
            <w:r>
              <w:rPr>
                <w:rFonts w:hint="eastAsia" w:ascii="宋体" w:hAnsi="宋体" w:cs="宋体"/>
                <w:color w:val="auto"/>
                <w:sz w:val="21"/>
                <w:szCs w:val="21"/>
                <w:highlight w:val="none"/>
                <w:lang w:val="en-US" w:eastAsia="zh-CN"/>
              </w:rPr>
              <w:t>；</w:t>
            </w:r>
          </w:p>
        </w:tc>
      </w:tr>
      <w:tr w14:paraId="7DA9E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9" w:hRule="exact"/>
          <w:jc w:val="center"/>
        </w:trPr>
        <w:tc>
          <w:tcPr>
            <w:tcW w:w="719" w:type="dxa"/>
            <w:vAlign w:val="center"/>
          </w:tcPr>
          <w:p w14:paraId="73007A4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047" w:type="dxa"/>
            <w:vAlign w:val="center"/>
          </w:tcPr>
          <w:p w14:paraId="6E5FE3C1">
            <w:pPr>
              <w:keepNext w:val="0"/>
              <w:keepLines w:val="0"/>
              <w:widowControl/>
              <w:suppressLineNumbers w:val="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白色</w:t>
            </w:r>
            <w:r>
              <w:rPr>
                <w:rFonts w:hint="eastAsia" w:ascii="宋体" w:hAnsi="宋体" w:eastAsia="宋体" w:cs="宋体"/>
                <w:color w:val="auto"/>
                <w:sz w:val="21"/>
                <w:szCs w:val="21"/>
                <w:highlight w:val="none"/>
                <w:lang w:eastAsia="zh-CN"/>
              </w:rPr>
              <w:t>钇稳定电熔氧化锆（</w:t>
            </w:r>
            <w:r>
              <w:rPr>
                <w:rFonts w:hint="eastAsia" w:ascii="宋体" w:hAnsi="宋体" w:eastAsia="宋体" w:cs="宋体"/>
                <w:color w:val="auto"/>
                <w:sz w:val="21"/>
                <w:szCs w:val="21"/>
                <w:highlight w:val="none"/>
                <w:lang w:val="en-US" w:eastAsia="zh-CN"/>
              </w:rPr>
              <w:t>球</w:t>
            </w:r>
            <w:r>
              <w:rPr>
                <w:rFonts w:hint="eastAsia" w:ascii="宋体" w:hAnsi="宋体" w:eastAsia="宋体" w:cs="宋体"/>
                <w:color w:val="auto"/>
                <w:sz w:val="21"/>
                <w:szCs w:val="21"/>
                <w:highlight w:val="none"/>
                <w:lang w:eastAsia="zh-CN"/>
              </w:rPr>
              <w:t>）</w:t>
            </w:r>
          </w:p>
        </w:tc>
        <w:tc>
          <w:tcPr>
            <w:tcW w:w="1404" w:type="dxa"/>
            <w:vAlign w:val="center"/>
          </w:tcPr>
          <w:p w14:paraId="7070D74C">
            <w:pPr>
              <w:keepNext w:val="0"/>
              <w:keepLines w:val="0"/>
              <w:widowControl/>
              <w:suppressLineNumbers w:val="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0.2-5mm</w:t>
            </w:r>
          </w:p>
        </w:tc>
        <w:tc>
          <w:tcPr>
            <w:tcW w:w="1336" w:type="dxa"/>
            <w:vAlign w:val="center"/>
          </w:tcPr>
          <w:p w14:paraId="7EA0BEDC">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20</w:t>
            </w:r>
          </w:p>
        </w:tc>
        <w:tc>
          <w:tcPr>
            <w:tcW w:w="2070" w:type="dxa"/>
            <w:vMerge w:val="continue"/>
            <w:vAlign w:val="center"/>
          </w:tcPr>
          <w:p w14:paraId="231EE867">
            <w:pPr>
              <w:jc w:val="center"/>
              <w:rPr>
                <w:rFonts w:hint="eastAsia" w:ascii="宋体" w:hAnsi="宋体" w:eastAsia="宋体" w:cs="宋体"/>
                <w:color w:val="auto"/>
                <w:sz w:val="21"/>
                <w:szCs w:val="21"/>
                <w:highlight w:val="none"/>
              </w:rPr>
            </w:pPr>
          </w:p>
        </w:tc>
      </w:tr>
    </w:tbl>
    <w:p w14:paraId="68BFDEB7">
      <w:pPr>
        <w:pStyle w:val="6"/>
        <w:spacing w:line="360" w:lineRule="auto"/>
        <w:ind w:left="0" w:firstLine="630" w:firstLineChars="300"/>
        <w:jc w:val="left"/>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主要技术参数：产品物理化学指标达到以下相关指标要求：</w:t>
      </w:r>
    </w:p>
    <w:tbl>
      <w:tblPr>
        <w:tblStyle w:val="8"/>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1014"/>
        <w:gridCol w:w="780"/>
        <w:gridCol w:w="828"/>
        <w:gridCol w:w="804"/>
        <w:gridCol w:w="891"/>
        <w:gridCol w:w="1689"/>
      </w:tblGrid>
      <w:tr w14:paraId="1EE6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533" w:type="dxa"/>
            <w:tcBorders>
              <w:tl2br w:val="single" w:color="auto" w:sz="4" w:space="0"/>
            </w:tcBorders>
            <w:noWrap w:val="0"/>
            <w:vAlign w:val="top"/>
          </w:tcPr>
          <w:p w14:paraId="0EA08FDE">
            <w:pPr>
              <w:spacing w:line="400" w:lineRule="exact"/>
              <w:rPr>
                <w:rFonts w:hint="eastAsia" w:ascii="宋体" w:hAnsi="宋体"/>
                <w:color w:val="auto"/>
              </w:rPr>
            </w:pPr>
            <w:r>
              <w:rPr>
                <w:rFonts w:hint="eastAsia" w:ascii="宋体" w:hAnsi="宋体"/>
                <w:color w:val="auto"/>
                <w:sz w:val="28"/>
              </w:rPr>
              <w:t xml:space="preserve">   </w:t>
            </w:r>
            <w:r>
              <w:rPr>
                <w:rFonts w:hint="eastAsia" w:ascii="宋体" w:hAnsi="宋体"/>
                <w:color w:val="auto"/>
              </w:rPr>
              <w:t xml:space="preserve"> </w:t>
            </w:r>
            <w:r>
              <w:rPr>
                <w:rFonts w:hint="eastAsia" w:ascii="宋体" w:hAnsi="宋体"/>
                <w:color w:val="auto"/>
                <w:lang w:val="en-US" w:eastAsia="zh-CN"/>
              </w:rPr>
              <w:t xml:space="preserve">      </w:t>
            </w:r>
            <w:r>
              <w:rPr>
                <w:rFonts w:hint="eastAsia" w:ascii="宋体" w:hAnsi="宋体"/>
                <w:color w:val="auto"/>
              </w:rPr>
              <w:t xml:space="preserve">指标    </w:t>
            </w:r>
          </w:p>
          <w:p w14:paraId="2FC92D1E">
            <w:pPr>
              <w:spacing w:line="400" w:lineRule="exact"/>
              <w:rPr>
                <w:rFonts w:hint="eastAsia" w:ascii="宋体" w:hAnsi="宋体"/>
                <w:color w:val="auto"/>
              </w:rPr>
            </w:pPr>
            <w:r>
              <w:rPr>
                <w:rFonts w:hint="eastAsia" w:ascii="宋体" w:hAnsi="宋体"/>
                <w:color w:val="auto"/>
              </w:rPr>
              <w:t>牌号</w:t>
            </w:r>
          </w:p>
        </w:tc>
        <w:tc>
          <w:tcPr>
            <w:tcW w:w="1014" w:type="dxa"/>
            <w:noWrap w:val="0"/>
            <w:vAlign w:val="center"/>
          </w:tcPr>
          <w:p w14:paraId="3D76DCBC">
            <w:pPr>
              <w:spacing w:line="400" w:lineRule="exact"/>
              <w:jc w:val="center"/>
              <w:rPr>
                <w:rFonts w:hint="eastAsia" w:ascii="宋体" w:hAnsi="宋体"/>
                <w:color w:val="auto"/>
              </w:rPr>
            </w:pPr>
            <w:r>
              <w:rPr>
                <w:rFonts w:hint="eastAsia" w:ascii="宋体" w:hAnsi="宋体"/>
                <w:color w:val="auto"/>
              </w:rPr>
              <w:t>Al</w:t>
            </w:r>
            <w:r>
              <w:rPr>
                <w:rFonts w:hint="eastAsia" w:ascii="宋体" w:hAnsi="宋体"/>
                <w:color w:val="auto"/>
                <w:vertAlign w:val="subscript"/>
              </w:rPr>
              <w:t>2</w:t>
            </w:r>
            <w:r>
              <w:rPr>
                <w:rFonts w:hint="eastAsia" w:ascii="宋体" w:hAnsi="宋体"/>
                <w:color w:val="auto"/>
              </w:rPr>
              <w:t>O</w:t>
            </w:r>
            <w:r>
              <w:rPr>
                <w:rFonts w:hint="eastAsia" w:ascii="宋体" w:hAnsi="宋体"/>
                <w:color w:val="auto"/>
                <w:vertAlign w:val="subscript"/>
              </w:rPr>
              <w:t>3</w:t>
            </w:r>
            <w:r>
              <w:rPr>
                <w:rFonts w:hint="eastAsia" w:ascii="宋体" w:hAnsi="宋体"/>
                <w:color w:val="auto"/>
              </w:rPr>
              <w:t>%</w:t>
            </w:r>
          </w:p>
        </w:tc>
        <w:tc>
          <w:tcPr>
            <w:tcW w:w="780" w:type="dxa"/>
            <w:noWrap w:val="0"/>
            <w:vAlign w:val="center"/>
          </w:tcPr>
          <w:p w14:paraId="7AA46A29">
            <w:pPr>
              <w:spacing w:line="400" w:lineRule="exact"/>
              <w:jc w:val="center"/>
              <w:rPr>
                <w:rFonts w:hint="eastAsia" w:ascii="宋体" w:hAnsi="宋体"/>
                <w:color w:val="auto"/>
              </w:rPr>
            </w:pPr>
            <w:r>
              <w:rPr>
                <w:rFonts w:hint="eastAsia" w:ascii="宋体" w:hAnsi="宋体"/>
                <w:color w:val="auto"/>
              </w:rPr>
              <w:t>SiO</w:t>
            </w:r>
            <w:r>
              <w:rPr>
                <w:rFonts w:hint="eastAsia" w:ascii="宋体" w:hAnsi="宋体"/>
                <w:color w:val="auto"/>
                <w:vertAlign w:val="subscript"/>
              </w:rPr>
              <w:t>2</w:t>
            </w:r>
            <w:r>
              <w:rPr>
                <w:rFonts w:hint="eastAsia" w:ascii="宋体" w:hAnsi="宋体"/>
                <w:color w:val="auto"/>
              </w:rPr>
              <w:t>%</w:t>
            </w:r>
          </w:p>
        </w:tc>
        <w:tc>
          <w:tcPr>
            <w:tcW w:w="828" w:type="dxa"/>
            <w:noWrap w:val="0"/>
            <w:vAlign w:val="center"/>
          </w:tcPr>
          <w:p w14:paraId="6F8F2CA3">
            <w:pPr>
              <w:spacing w:line="400" w:lineRule="exact"/>
              <w:jc w:val="center"/>
              <w:rPr>
                <w:rFonts w:hint="eastAsia" w:ascii="宋体" w:hAnsi="宋体"/>
                <w:color w:val="auto"/>
              </w:rPr>
            </w:pPr>
            <w:r>
              <w:rPr>
                <w:rFonts w:hint="eastAsia" w:ascii="宋体" w:hAnsi="宋体"/>
                <w:color w:val="auto"/>
                <w:lang w:val="en-US" w:eastAsia="zh-CN"/>
              </w:rPr>
              <w:t>Na</w:t>
            </w:r>
            <w:r>
              <w:rPr>
                <w:rFonts w:hint="eastAsia" w:ascii="宋体" w:hAnsi="宋体"/>
                <w:color w:val="auto"/>
                <w:vertAlign w:val="subscript"/>
                <w:lang w:val="en-US" w:eastAsia="zh-CN"/>
              </w:rPr>
              <w:t>2</w:t>
            </w:r>
            <w:r>
              <w:rPr>
                <w:rFonts w:hint="eastAsia" w:ascii="宋体" w:hAnsi="宋体"/>
                <w:color w:val="auto"/>
              </w:rPr>
              <w:t>O%</w:t>
            </w:r>
          </w:p>
        </w:tc>
        <w:tc>
          <w:tcPr>
            <w:tcW w:w="804" w:type="dxa"/>
            <w:noWrap w:val="0"/>
            <w:vAlign w:val="center"/>
          </w:tcPr>
          <w:p w14:paraId="404007A9">
            <w:pPr>
              <w:spacing w:line="400" w:lineRule="exact"/>
              <w:jc w:val="center"/>
              <w:rPr>
                <w:rFonts w:hint="eastAsia" w:ascii="宋体" w:hAnsi="宋体"/>
                <w:color w:val="auto"/>
              </w:rPr>
            </w:pPr>
            <w:r>
              <w:rPr>
                <w:rFonts w:hint="eastAsia" w:ascii="宋体" w:hAnsi="宋体"/>
                <w:color w:val="auto"/>
              </w:rPr>
              <w:t>Fe</w:t>
            </w:r>
            <w:r>
              <w:rPr>
                <w:rFonts w:hint="eastAsia" w:ascii="宋体" w:hAnsi="宋体"/>
                <w:color w:val="auto"/>
                <w:vertAlign w:val="subscript"/>
              </w:rPr>
              <w:t>2</w:t>
            </w:r>
            <w:r>
              <w:rPr>
                <w:rFonts w:hint="eastAsia" w:ascii="宋体" w:hAnsi="宋体"/>
                <w:color w:val="auto"/>
              </w:rPr>
              <w:t>O</w:t>
            </w:r>
            <w:r>
              <w:rPr>
                <w:rFonts w:hint="eastAsia" w:ascii="宋体" w:hAnsi="宋体"/>
                <w:color w:val="auto"/>
                <w:vertAlign w:val="subscript"/>
              </w:rPr>
              <w:t>3</w:t>
            </w:r>
            <w:r>
              <w:rPr>
                <w:rFonts w:hint="eastAsia" w:ascii="宋体" w:hAnsi="宋体"/>
                <w:color w:val="auto"/>
              </w:rPr>
              <w:t>%</w:t>
            </w:r>
          </w:p>
        </w:tc>
        <w:tc>
          <w:tcPr>
            <w:tcW w:w="891" w:type="dxa"/>
            <w:noWrap w:val="0"/>
            <w:vAlign w:val="center"/>
          </w:tcPr>
          <w:p w14:paraId="6382623F">
            <w:pPr>
              <w:spacing w:line="400" w:lineRule="exact"/>
              <w:jc w:val="center"/>
              <w:rPr>
                <w:rFonts w:hint="default" w:ascii="宋体" w:hAnsi="宋体"/>
                <w:color w:val="auto"/>
                <w:lang w:val="en-US" w:eastAsia="zh-CN"/>
              </w:rPr>
            </w:pPr>
            <w:r>
              <w:rPr>
                <w:rFonts w:hint="eastAsia" w:ascii="宋体" w:hAnsi="宋体"/>
                <w:color w:val="auto"/>
                <w:lang w:val="en-US" w:eastAsia="zh-CN"/>
              </w:rPr>
              <w:t>Y</w:t>
            </w:r>
            <w:r>
              <w:rPr>
                <w:rFonts w:hint="eastAsia" w:ascii="宋体" w:hAnsi="宋体"/>
                <w:color w:val="auto"/>
                <w:vertAlign w:val="subscript"/>
                <w:lang w:val="en-US" w:eastAsia="zh-CN"/>
              </w:rPr>
              <w:t>2</w:t>
            </w:r>
            <w:r>
              <w:rPr>
                <w:rFonts w:hint="eastAsia" w:ascii="宋体" w:hAnsi="宋体"/>
                <w:color w:val="auto"/>
                <w:lang w:val="en-US" w:eastAsia="zh-CN"/>
              </w:rPr>
              <w:t>O</w:t>
            </w:r>
            <w:r>
              <w:rPr>
                <w:rFonts w:hint="eastAsia" w:ascii="宋体" w:hAnsi="宋体"/>
                <w:color w:val="auto"/>
                <w:vertAlign w:val="subscript"/>
                <w:lang w:val="en-US" w:eastAsia="zh-CN"/>
              </w:rPr>
              <w:t>3</w:t>
            </w:r>
            <w:r>
              <w:rPr>
                <w:rFonts w:hint="eastAsia" w:ascii="宋体" w:hAnsi="宋体"/>
                <w:color w:val="auto"/>
                <w:lang w:val="en-US" w:eastAsia="zh-CN"/>
              </w:rPr>
              <w:t>%</w:t>
            </w:r>
          </w:p>
        </w:tc>
        <w:tc>
          <w:tcPr>
            <w:tcW w:w="1689" w:type="dxa"/>
            <w:noWrap w:val="0"/>
            <w:vAlign w:val="top"/>
          </w:tcPr>
          <w:p w14:paraId="0ABFA319">
            <w:pPr>
              <w:spacing w:line="400" w:lineRule="exact"/>
              <w:jc w:val="center"/>
              <w:rPr>
                <w:rFonts w:hint="eastAsia" w:ascii="宋体" w:hAnsi="宋体"/>
                <w:color w:val="auto"/>
                <w:lang w:val="en-US" w:eastAsia="zh-CN"/>
              </w:rPr>
            </w:pPr>
          </w:p>
          <w:p w14:paraId="772D3905">
            <w:pPr>
              <w:spacing w:line="400" w:lineRule="exact"/>
              <w:jc w:val="center"/>
              <w:rPr>
                <w:rFonts w:hint="default" w:ascii="宋体" w:hAnsi="宋体"/>
                <w:color w:val="auto"/>
                <w:lang w:val="en-US" w:eastAsia="zh-CN"/>
              </w:rPr>
            </w:pPr>
            <w:r>
              <w:rPr>
                <w:rFonts w:hint="eastAsia" w:ascii="宋体" w:hAnsi="宋体"/>
                <w:color w:val="auto"/>
                <w:lang w:val="en-US" w:eastAsia="zh-CN"/>
              </w:rPr>
              <w:t>ZrO2+Y</w:t>
            </w:r>
            <w:r>
              <w:rPr>
                <w:rFonts w:hint="eastAsia" w:ascii="宋体" w:hAnsi="宋体"/>
                <w:color w:val="auto"/>
                <w:vertAlign w:val="subscript"/>
                <w:lang w:val="en-US" w:eastAsia="zh-CN"/>
              </w:rPr>
              <w:t>2</w:t>
            </w:r>
            <w:r>
              <w:rPr>
                <w:rFonts w:hint="eastAsia" w:ascii="宋体" w:hAnsi="宋体"/>
                <w:color w:val="auto"/>
                <w:lang w:val="en-US" w:eastAsia="zh-CN"/>
              </w:rPr>
              <w:t>O</w:t>
            </w:r>
            <w:r>
              <w:rPr>
                <w:rFonts w:hint="eastAsia" w:ascii="宋体" w:hAnsi="宋体"/>
                <w:color w:val="auto"/>
                <w:vertAlign w:val="subscript"/>
                <w:lang w:val="en-US" w:eastAsia="zh-CN"/>
              </w:rPr>
              <w:t>3</w:t>
            </w:r>
            <w:r>
              <w:rPr>
                <w:rFonts w:hint="eastAsia" w:ascii="宋体" w:hAnsi="宋体"/>
                <w:color w:val="auto"/>
                <w:lang w:val="en-US" w:eastAsia="zh-CN"/>
              </w:rPr>
              <w:t>+HfO</w:t>
            </w:r>
            <w:r>
              <w:rPr>
                <w:rFonts w:hint="eastAsia" w:ascii="宋体" w:hAnsi="宋体"/>
                <w:color w:val="auto"/>
                <w:vertAlign w:val="subscript"/>
                <w:lang w:val="en-US" w:eastAsia="zh-CN"/>
              </w:rPr>
              <w:t>2</w:t>
            </w:r>
            <w:r>
              <w:rPr>
                <w:rFonts w:hint="eastAsia" w:ascii="宋体" w:hAnsi="宋体"/>
                <w:color w:val="auto"/>
                <w:lang w:val="en-US" w:eastAsia="zh-CN"/>
              </w:rPr>
              <w:t>%</w:t>
            </w:r>
          </w:p>
        </w:tc>
      </w:tr>
      <w:tr w14:paraId="338F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2533" w:type="dxa"/>
            <w:noWrap w:val="0"/>
            <w:vAlign w:val="center"/>
          </w:tcPr>
          <w:p w14:paraId="09DDF961">
            <w:pPr>
              <w:spacing w:line="400" w:lineRule="exact"/>
              <w:jc w:val="center"/>
              <w:rPr>
                <w:rFonts w:hint="default" w:ascii="宋体" w:hAnsi="宋体"/>
                <w:color w:val="auto"/>
                <w:lang w:val="en-US" w:eastAsia="zh-CN"/>
              </w:rPr>
            </w:pPr>
            <w:r>
              <w:rPr>
                <w:rFonts w:hint="eastAsia" w:ascii="宋体" w:hAnsi="宋体"/>
                <w:color w:val="auto"/>
                <w:lang w:val="en-US" w:eastAsia="zh-CN"/>
              </w:rPr>
              <w:t>白色</w:t>
            </w:r>
            <w:r>
              <w:rPr>
                <w:rFonts w:hint="eastAsia" w:ascii="宋体" w:hAnsi="宋体"/>
                <w:color w:val="auto"/>
                <w:lang w:eastAsia="zh-CN"/>
              </w:rPr>
              <w:t>钇稳定电熔氧化锆（</w:t>
            </w:r>
            <w:r>
              <w:rPr>
                <w:rFonts w:hint="eastAsia" w:ascii="宋体" w:hAnsi="宋体"/>
                <w:color w:val="auto"/>
                <w:lang w:val="en-US" w:eastAsia="zh-CN"/>
              </w:rPr>
              <w:t>球</w:t>
            </w:r>
            <w:r>
              <w:rPr>
                <w:rFonts w:hint="eastAsia" w:ascii="宋体" w:hAnsi="宋体"/>
                <w:color w:val="auto"/>
                <w:lang w:eastAsia="zh-CN"/>
              </w:rPr>
              <w:t>）</w:t>
            </w:r>
          </w:p>
        </w:tc>
        <w:tc>
          <w:tcPr>
            <w:tcW w:w="1014" w:type="dxa"/>
            <w:noWrap w:val="0"/>
            <w:vAlign w:val="center"/>
          </w:tcPr>
          <w:p w14:paraId="3801F8FC">
            <w:pPr>
              <w:spacing w:line="400" w:lineRule="exact"/>
              <w:jc w:val="center"/>
              <w:rPr>
                <w:rFonts w:hint="default" w:ascii="宋体" w:hAnsi="宋体" w:eastAsia="宋体"/>
                <w:color w:val="auto"/>
                <w:lang w:val="en-US" w:eastAsia="zh-CN"/>
              </w:rPr>
            </w:pPr>
            <w:r>
              <w:rPr>
                <w:rFonts w:hint="eastAsia" w:ascii="宋体" w:hAnsi="宋体"/>
                <w:color w:val="auto"/>
                <w:lang w:val="en-US" w:eastAsia="zh-CN"/>
              </w:rPr>
              <w:t>＜0.1</w:t>
            </w:r>
          </w:p>
        </w:tc>
        <w:tc>
          <w:tcPr>
            <w:tcW w:w="780" w:type="dxa"/>
            <w:noWrap w:val="0"/>
            <w:vAlign w:val="center"/>
          </w:tcPr>
          <w:p w14:paraId="26B20AF4">
            <w:pPr>
              <w:spacing w:line="400" w:lineRule="exact"/>
              <w:jc w:val="center"/>
              <w:rPr>
                <w:rFonts w:hint="default" w:ascii="宋体" w:hAnsi="宋体" w:eastAsia="宋体"/>
                <w:color w:val="auto"/>
                <w:lang w:val="en-US" w:eastAsia="zh-CN"/>
              </w:rPr>
            </w:pPr>
            <w:r>
              <w:rPr>
                <w:rFonts w:hint="eastAsia" w:ascii="宋体" w:hAnsi="宋体"/>
                <w:color w:val="auto"/>
                <w:lang w:val="en-US" w:eastAsia="zh-CN"/>
              </w:rPr>
              <w:t>＜0.1</w:t>
            </w:r>
          </w:p>
        </w:tc>
        <w:tc>
          <w:tcPr>
            <w:tcW w:w="828" w:type="dxa"/>
            <w:noWrap w:val="0"/>
            <w:vAlign w:val="center"/>
          </w:tcPr>
          <w:p w14:paraId="0B7250B0">
            <w:pPr>
              <w:spacing w:line="400" w:lineRule="exact"/>
              <w:jc w:val="center"/>
              <w:rPr>
                <w:rFonts w:hint="default" w:ascii="宋体" w:hAnsi="宋体" w:eastAsia="宋体"/>
                <w:color w:val="auto"/>
                <w:lang w:val="en-US" w:eastAsia="zh-CN"/>
              </w:rPr>
            </w:pPr>
            <w:r>
              <w:rPr>
                <w:rFonts w:hint="eastAsia" w:ascii="宋体" w:hAnsi="宋体"/>
                <w:color w:val="auto"/>
                <w:lang w:eastAsia="zh-CN"/>
              </w:rPr>
              <w:t>＜</w:t>
            </w:r>
            <w:r>
              <w:rPr>
                <w:rFonts w:hint="eastAsia" w:ascii="宋体" w:hAnsi="宋体"/>
                <w:color w:val="auto"/>
                <w:lang w:val="en-US" w:eastAsia="zh-CN"/>
              </w:rPr>
              <w:t>0.1</w:t>
            </w:r>
          </w:p>
        </w:tc>
        <w:tc>
          <w:tcPr>
            <w:tcW w:w="804" w:type="dxa"/>
            <w:noWrap w:val="0"/>
            <w:vAlign w:val="center"/>
          </w:tcPr>
          <w:p w14:paraId="0A0636A1">
            <w:pPr>
              <w:spacing w:line="400" w:lineRule="exact"/>
              <w:jc w:val="center"/>
              <w:rPr>
                <w:rFonts w:hint="default" w:ascii="宋体" w:hAnsi="宋体" w:eastAsia="宋体"/>
                <w:color w:val="auto"/>
                <w:lang w:val="en-US" w:eastAsia="zh-CN"/>
              </w:rPr>
            </w:pPr>
            <w:r>
              <w:rPr>
                <w:rFonts w:hint="eastAsia" w:ascii="宋体" w:hAnsi="宋体"/>
                <w:color w:val="auto"/>
                <w:lang w:val="en-US" w:eastAsia="zh-CN"/>
              </w:rPr>
              <w:t>＜0.1</w:t>
            </w:r>
          </w:p>
        </w:tc>
        <w:tc>
          <w:tcPr>
            <w:tcW w:w="891" w:type="dxa"/>
            <w:noWrap w:val="0"/>
            <w:vAlign w:val="center"/>
          </w:tcPr>
          <w:p w14:paraId="764EE0B0">
            <w:pPr>
              <w:spacing w:line="400" w:lineRule="exact"/>
              <w:jc w:val="center"/>
              <w:rPr>
                <w:rFonts w:hint="default" w:ascii="宋体" w:hAnsi="宋体" w:eastAsia="宋体"/>
                <w:color w:val="auto"/>
                <w:lang w:val="en-US" w:eastAsia="zh-CN"/>
              </w:rPr>
            </w:pPr>
            <w:r>
              <w:rPr>
                <w:rFonts w:hint="eastAsia" w:ascii="宋体" w:hAnsi="宋体"/>
                <w:color w:val="auto"/>
                <w:lang w:val="en-US" w:eastAsia="zh-CN"/>
              </w:rPr>
              <w:t>7-12</w:t>
            </w:r>
          </w:p>
        </w:tc>
        <w:tc>
          <w:tcPr>
            <w:tcW w:w="1689" w:type="dxa"/>
            <w:noWrap w:val="0"/>
            <w:vAlign w:val="center"/>
          </w:tcPr>
          <w:p w14:paraId="34B904AA">
            <w:pPr>
              <w:spacing w:line="400" w:lineRule="exact"/>
              <w:jc w:val="center"/>
              <w:rPr>
                <w:rFonts w:hint="default" w:ascii="宋体" w:hAnsi="宋体" w:eastAsia="宋体"/>
                <w:color w:val="auto"/>
                <w:lang w:val="en-US" w:eastAsia="zh-CN"/>
              </w:rPr>
            </w:pPr>
            <w:r>
              <w:rPr>
                <w:rFonts w:hint="eastAsia" w:ascii="宋体" w:hAnsi="宋体"/>
                <w:color w:val="auto"/>
                <w:lang w:eastAsia="zh-CN"/>
              </w:rPr>
              <w:t>≥</w:t>
            </w:r>
            <w:r>
              <w:rPr>
                <w:rFonts w:hint="eastAsia" w:ascii="宋体" w:hAnsi="宋体"/>
                <w:color w:val="auto"/>
                <w:lang w:val="en-US" w:eastAsia="zh-CN"/>
              </w:rPr>
              <w:t>99</w:t>
            </w:r>
          </w:p>
        </w:tc>
      </w:tr>
    </w:tbl>
    <w:p w14:paraId="600150AE">
      <w:pPr>
        <w:pStyle w:val="6"/>
        <w:spacing w:line="360" w:lineRule="auto"/>
        <w:ind w:left="0" w:firstLine="632" w:firstLineChars="300"/>
        <w:jc w:val="left"/>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注：要求原料表现为白色。</w:t>
      </w:r>
    </w:p>
    <w:p w14:paraId="36220654">
      <w:pPr>
        <w:pStyle w:val="6"/>
        <w:spacing w:line="360" w:lineRule="auto"/>
        <w:ind w:left="0" w:firstLine="632" w:firstLineChars="300"/>
        <w:jc w:val="left"/>
        <w:rPr>
          <w:rFonts w:hint="eastAsia" w:ascii="宋体" w:hAnsi="宋体" w:cs="宋体"/>
          <w:b/>
          <w:color w:val="auto"/>
          <w:sz w:val="21"/>
          <w:szCs w:val="21"/>
          <w:highlight w:val="none"/>
          <w:u w:val="none"/>
          <w:lang w:val="en-US" w:eastAsia="zh-CN"/>
        </w:rPr>
      </w:pPr>
      <w:r>
        <w:rPr>
          <w:rFonts w:hint="eastAsia" w:ascii="宋体" w:hAnsi="宋体" w:cs="宋体"/>
          <w:b/>
          <w:color w:val="auto"/>
          <w:sz w:val="21"/>
          <w:szCs w:val="21"/>
          <w:highlight w:val="none"/>
          <w:u w:val="none"/>
          <w:lang w:val="en-US" w:eastAsia="zh-CN"/>
        </w:rPr>
        <w:t>投标人需在投标截止时间前将纸质文件和原料样品及样品检测报告递交到开标现场。地址:淄博市博山区柳杭东路2号山东耐材集团鲁耐窑业有限公司 208 会议室）。投标文件及样品需一起密封在一个封包（箱）内，封包（箱）外包装需粘贴封条，封条上注明投标人全称并加盖公章。</w:t>
      </w:r>
    </w:p>
    <w:p w14:paraId="32102C03">
      <w:pPr>
        <w:pStyle w:val="6"/>
        <w:spacing w:line="360" w:lineRule="auto"/>
        <w:ind w:left="0" w:firstLine="632" w:firstLineChars="300"/>
        <w:jc w:val="left"/>
        <w:rPr>
          <w:rFonts w:hint="eastAsia" w:ascii="宋体" w:hAnsi="宋体" w:cs="宋体"/>
          <w:b/>
          <w:color w:val="auto"/>
          <w:sz w:val="21"/>
          <w:szCs w:val="21"/>
          <w:highlight w:val="none"/>
          <w:u w:val="none"/>
          <w:lang w:val="en-US" w:eastAsia="zh-CN"/>
        </w:rPr>
      </w:pPr>
      <w:r>
        <w:rPr>
          <w:rFonts w:hint="eastAsia" w:ascii="宋体" w:hAnsi="宋体" w:cs="宋体"/>
          <w:b/>
          <w:color w:val="auto"/>
          <w:sz w:val="21"/>
          <w:szCs w:val="21"/>
          <w:highlight w:val="none"/>
          <w:u w:val="none"/>
          <w:lang w:val="en-US" w:eastAsia="zh-CN"/>
        </w:rPr>
        <w:t>样品将作为评标委员会技术或产品质量评审的一项重要因素，评标结束后，招标人将保留投标人提供的样品及检验报告，并将中标单位样品作为合同货物实物验收的标准或参照物。</w:t>
      </w:r>
    </w:p>
    <w:p w14:paraId="145565F0">
      <w:pPr>
        <w:pStyle w:val="6"/>
        <w:spacing w:line="360" w:lineRule="auto"/>
        <w:ind w:left="0" w:firstLine="632" w:firstLineChars="300"/>
        <w:jc w:val="left"/>
        <w:rPr>
          <w:rFonts w:hint="eastAsia" w:ascii="宋体" w:hAnsi="宋体" w:cs="宋体"/>
          <w:b/>
          <w:color w:val="auto"/>
          <w:sz w:val="21"/>
          <w:szCs w:val="21"/>
          <w:highlight w:val="none"/>
          <w:u w:val="none"/>
          <w:lang w:val="en-US" w:eastAsia="zh-CN"/>
        </w:rPr>
      </w:pPr>
      <w:r>
        <w:rPr>
          <w:rFonts w:hint="eastAsia" w:ascii="宋体" w:hAnsi="宋体" w:cs="宋体"/>
          <w:b/>
          <w:color w:val="auto"/>
          <w:sz w:val="21"/>
          <w:szCs w:val="21"/>
          <w:highlight w:val="none"/>
          <w:u w:val="none"/>
          <w:lang w:val="en-US" w:eastAsia="zh-CN"/>
        </w:rPr>
        <w:t>未按要求提供样品的投标人，其投标将被否决。</w:t>
      </w:r>
    </w:p>
    <w:p w14:paraId="5CCDB716">
      <w:pPr>
        <w:pStyle w:val="11"/>
        <w:adjustRightInd/>
        <w:snapToGrid/>
        <w:ind w:firstLine="420"/>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交货期：</w:t>
      </w:r>
      <w:r>
        <w:rPr>
          <w:rFonts w:hint="eastAsia" w:ascii="宋体" w:hAnsi="宋体" w:cs="宋体"/>
          <w:color w:val="auto"/>
          <w:highlight w:val="none"/>
          <w:lang w:val="en-US" w:eastAsia="zh-CN"/>
        </w:rPr>
        <w:t>合同签订后</w:t>
      </w:r>
      <w:r>
        <w:rPr>
          <w:rFonts w:hint="eastAsia" w:ascii="宋体" w:hAnsi="宋体" w:cs="宋体"/>
          <w:color w:val="auto"/>
          <w:highlight w:val="none"/>
          <w:u w:val="single"/>
          <w:lang w:val="en-US" w:eastAsia="zh-CN"/>
        </w:rPr>
        <w:t xml:space="preserve"> 35 </w:t>
      </w:r>
      <w:r>
        <w:rPr>
          <w:rFonts w:hint="eastAsia" w:ascii="宋体" w:hAnsi="宋体" w:cs="宋体"/>
          <w:color w:val="auto"/>
          <w:highlight w:val="none"/>
          <w:lang w:val="en-US" w:eastAsia="zh-CN"/>
        </w:rPr>
        <w:t>天内</w:t>
      </w:r>
      <w:r>
        <w:rPr>
          <w:rFonts w:hint="eastAsia" w:ascii="宋体" w:hAnsi="宋体" w:eastAsia="宋体" w:cs="宋体"/>
          <w:color w:val="auto"/>
          <w:highlight w:val="none"/>
        </w:rPr>
        <w:t>。</w:t>
      </w:r>
    </w:p>
    <w:p w14:paraId="28E9F2BF">
      <w:pPr>
        <w:pStyle w:val="11"/>
        <w:adjustRightInd/>
        <w:snapToGrid/>
        <w:ind w:firstLine="420"/>
        <w:rPr>
          <w:rFonts w:hint="eastAsia" w:ascii="Arial" w:hAnsi="Arial" w:eastAsia="宋体" w:cs="Times New Roman"/>
          <w:color w:val="auto"/>
          <w:highlight w:val="none"/>
          <w:lang w:val="en-US" w:eastAsia="zh-CN"/>
        </w:rPr>
      </w:pPr>
      <w:r>
        <w:rPr>
          <w:rFonts w:hint="eastAsia" w:ascii="宋体" w:hAnsi="宋体" w:cs="宋体"/>
          <w:bCs/>
          <w:color w:val="auto"/>
          <w:highlight w:val="none"/>
          <w:lang w:val="en-US" w:eastAsia="zh-CN"/>
        </w:rPr>
        <w:t>4、</w:t>
      </w:r>
      <w:r>
        <w:rPr>
          <w:rFonts w:hint="eastAsia" w:ascii="宋体" w:hAnsi="宋体" w:eastAsia="宋体" w:cs="宋体"/>
          <w:bCs/>
          <w:color w:val="auto"/>
          <w:highlight w:val="none"/>
        </w:rPr>
        <w:t>交货地点：山东耐材集团鲁耐窑业有限公司指定地点</w:t>
      </w:r>
      <w:r>
        <w:rPr>
          <w:rFonts w:hint="eastAsia" w:ascii="Arial" w:hAnsi="Arial" w:eastAsia="宋体" w:cs="Times New Roman"/>
          <w:color w:val="auto"/>
          <w:highlight w:val="none"/>
          <w:lang w:val="en-US" w:eastAsia="zh-CN"/>
        </w:rPr>
        <w:t>。</w:t>
      </w:r>
    </w:p>
    <w:p w14:paraId="7CF5E640">
      <w:pPr>
        <w:pStyle w:val="11"/>
        <w:adjustRightInd/>
        <w:snapToGrid/>
        <w:ind w:firstLine="420"/>
        <w:rPr>
          <w:rFonts w:hint="eastAsia" w:ascii="宋体" w:hAnsi="宋体" w:eastAsia="宋体" w:cs="宋体"/>
          <w:color w:val="auto"/>
          <w:kern w:val="0"/>
          <w:highlight w:val="none"/>
          <w:lang w:eastAsia="zh-CN"/>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交货方式：</w:t>
      </w:r>
      <w:r>
        <w:rPr>
          <w:rFonts w:hint="eastAsia" w:ascii="宋体" w:hAnsi="宋体" w:cs="宋体"/>
          <w:color w:val="auto"/>
          <w:highlight w:val="none"/>
          <w:lang w:val="en-US" w:eastAsia="zh-CN"/>
        </w:rPr>
        <w:t>车板交货</w:t>
      </w:r>
      <w:r>
        <w:rPr>
          <w:rFonts w:hint="eastAsia" w:ascii="宋体" w:hAnsi="宋体" w:cs="宋体"/>
          <w:color w:val="auto"/>
          <w:kern w:val="0"/>
          <w:highlight w:val="none"/>
          <w:lang w:eastAsia="zh-CN"/>
        </w:rPr>
        <w:t>。</w:t>
      </w:r>
    </w:p>
    <w:p w14:paraId="5E25C11C">
      <w:pPr>
        <w:pStyle w:val="11"/>
        <w:adjustRightInd/>
        <w:snapToGrid/>
        <w:ind w:firstLine="420"/>
        <w:rPr>
          <w:rFonts w:hint="eastAsia" w:hAnsi="宋体" w:cs="Times New Roman"/>
          <w:b w:val="0"/>
          <w:bCs w:val="0"/>
          <w:color w:val="auto"/>
          <w:kern w:val="2"/>
          <w:sz w:val="21"/>
          <w:szCs w:val="20"/>
          <w:highlight w:val="none"/>
        </w:rPr>
      </w:pPr>
      <w:r>
        <w:rPr>
          <w:rFonts w:hint="eastAsia" w:ascii="宋体" w:hAnsi="宋体" w:cs="宋体"/>
          <w:color w:val="auto"/>
          <w:kern w:val="0"/>
          <w:highlight w:val="none"/>
          <w:lang w:val="en-US" w:eastAsia="zh-CN"/>
        </w:rPr>
        <w:t>6、</w:t>
      </w:r>
      <w:r>
        <w:rPr>
          <w:rFonts w:hint="eastAsia" w:hAnsi="宋体" w:cs="Times New Roman"/>
          <w:b w:val="0"/>
          <w:bCs w:val="0"/>
          <w:color w:val="auto"/>
          <w:kern w:val="2"/>
          <w:sz w:val="21"/>
          <w:szCs w:val="20"/>
          <w:highlight w:val="none"/>
        </w:rPr>
        <w:t>付款条件及结算方式：凭全额增值税发票、质量合格证明、山东耐材集团鲁耐窑业有限公司出具的过磅单（须有收货人签字）。出卖人开具增值税发票，财务入账后45个工作日内以承兑汇票方式结算。</w:t>
      </w:r>
    </w:p>
    <w:p w14:paraId="675EE6D4">
      <w:pPr>
        <w:pStyle w:val="3"/>
        <w:adjustRightInd/>
        <w:snapToGrid/>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、投标人资格要求</w:t>
      </w:r>
    </w:p>
    <w:p w14:paraId="33D9EE66">
      <w:pPr>
        <w:pStyle w:val="11"/>
        <w:adjustRightInd/>
        <w:snapToGrid/>
        <w:ind w:firstLine="420"/>
        <w:rPr>
          <w:rFonts w:hint="eastAsia"/>
          <w:color w:val="auto"/>
          <w:highlight w:val="none"/>
        </w:rPr>
      </w:pPr>
      <w:r>
        <w:rPr>
          <w:rFonts w:hint="eastAsia"/>
          <w:color w:val="auto"/>
          <w:highlight w:val="none"/>
        </w:rPr>
        <w:t>本次招标要求投标人须具备：</w:t>
      </w:r>
    </w:p>
    <w:p w14:paraId="035EAAA1">
      <w:pPr>
        <w:pStyle w:val="11"/>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3.1投标人须具备在中华人民共和国境内注册，具有独立法人资格的一般纳税人</w:t>
      </w:r>
      <w:r>
        <w:rPr>
          <w:rFonts w:hint="eastAsia" w:cs="Times New Roman"/>
          <w:bCs w:val="0"/>
          <w:color w:val="auto"/>
          <w:kern w:val="2"/>
          <w:sz w:val="21"/>
          <w:szCs w:val="21"/>
          <w:highlight w:val="none"/>
          <w:lang w:val="en-US" w:eastAsia="zh-CN" w:bidi="ar-SA"/>
        </w:rPr>
        <w:t>，开标时提供营业执照</w:t>
      </w:r>
      <w:r>
        <w:rPr>
          <w:rFonts w:hint="eastAsia" w:ascii="宋体" w:hAnsi="宋体" w:eastAsia="宋体" w:cs="宋体"/>
          <w:color w:val="auto"/>
          <w:highlight w:val="none"/>
          <w:lang w:val="en-US" w:eastAsia="zh-CN"/>
        </w:rPr>
        <w:t>复印件，加盖本单位红色公章</w:t>
      </w:r>
      <w:r>
        <w:rPr>
          <w:rFonts w:hint="eastAsia" w:ascii="Arial" w:hAnsi="Arial" w:eastAsia="宋体" w:cs="Times New Roman"/>
          <w:bCs w:val="0"/>
          <w:color w:val="auto"/>
          <w:kern w:val="2"/>
          <w:sz w:val="21"/>
          <w:szCs w:val="21"/>
          <w:highlight w:val="none"/>
          <w:lang w:val="en-US" w:eastAsia="zh-CN" w:bidi="ar-SA"/>
        </w:rPr>
        <w:t>。</w:t>
      </w:r>
    </w:p>
    <w:p w14:paraId="7FDF589A">
      <w:pPr>
        <w:pStyle w:val="11"/>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3.2投标人须在人员、机具和资金方面具有相应产品的生产、供货能力</w:t>
      </w:r>
      <w:r>
        <w:rPr>
          <w:rFonts w:hint="eastAsia" w:cs="Times New Roman"/>
          <w:bCs w:val="0"/>
          <w:color w:val="auto"/>
          <w:kern w:val="2"/>
          <w:sz w:val="21"/>
          <w:szCs w:val="21"/>
          <w:highlight w:val="none"/>
          <w:lang w:val="en-US" w:eastAsia="zh-CN" w:bidi="ar-SA"/>
        </w:rPr>
        <w:t>，</w:t>
      </w:r>
      <w:r>
        <w:rPr>
          <w:rFonts w:hint="eastAsia" w:eastAsia="宋体" w:cs="Times New Roman"/>
          <w:bCs w:val="0"/>
          <w:color w:val="auto"/>
          <w:kern w:val="2"/>
          <w:sz w:val="21"/>
          <w:szCs w:val="21"/>
          <w:highlight w:val="none"/>
          <w:lang w:val="en-US" w:eastAsia="zh-CN" w:bidi="ar-SA"/>
        </w:rPr>
        <w:t>开标时提供</w:t>
      </w:r>
      <w:r>
        <w:rPr>
          <w:rFonts w:hint="eastAsia" w:ascii="宋体" w:hAnsi="宋体" w:eastAsia="宋体" w:cs="宋体"/>
          <w:color w:val="auto"/>
          <w:highlight w:val="none"/>
          <w:lang w:val="en-US" w:eastAsia="zh-CN"/>
        </w:rPr>
        <w:t>企业简介等文件</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投标人认为有必要提供的声明及文件（工艺先进程度等，生产能力证明）</w:t>
      </w:r>
      <w:r>
        <w:rPr>
          <w:rFonts w:hint="eastAsia" w:ascii="宋体" w:hAnsi="宋体" w:cs="宋体"/>
          <w:color w:val="auto"/>
          <w:highlight w:val="none"/>
          <w:lang w:val="en-US" w:eastAsia="zh-CN"/>
        </w:rPr>
        <w:t>。</w:t>
      </w:r>
    </w:p>
    <w:p w14:paraId="53E124CB">
      <w:pPr>
        <w:pStyle w:val="11"/>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3.3具有良好的财务状况,没有处于财产被接管、冻结、破产状态，具有良好的社会信誉和财务状况。</w:t>
      </w:r>
    </w:p>
    <w:p w14:paraId="39B2F63F">
      <w:pPr>
        <w:pStyle w:val="11"/>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3.4具有良好的商业信誉，没有处于被责令停业，企业未存在重大诉讼事件情况或者被宣告破产，或者其他丧失履约能力的情形并提供由法定代表人或授权代表签署并加盖公章的承诺书。</w:t>
      </w:r>
    </w:p>
    <w:p w14:paraId="0C58A363">
      <w:pPr>
        <w:pStyle w:val="11"/>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3.5 业绩要求： 投标方应具有近</w:t>
      </w:r>
      <w:r>
        <w:rPr>
          <w:rFonts w:hint="eastAsia" w:cs="Times New Roman"/>
          <w:bCs w:val="0"/>
          <w:color w:val="auto"/>
          <w:kern w:val="2"/>
          <w:sz w:val="21"/>
          <w:szCs w:val="21"/>
          <w:highlight w:val="none"/>
          <w:lang w:val="en-US" w:eastAsia="zh-CN" w:bidi="ar-SA"/>
        </w:rPr>
        <w:t>3</w:t>
      </w:r>
      <w:r>
        <w:rPr>
          <w:rFonts w:hint="eastAsia" w:ascii="Arial" w:hAnsi="Arial" w:eastAsia="宋体" w:cs="Times New Roman"/>
          <w:bCs w:val="0"/>
          <w:color w:val="auto"/>
          <w:kern w:val="2"/>
          <w:sz w:val="21"/>
          <w:szCs w:val="21"/>
          <w:highlight w:val="none"/>
          <w:lang w:val="en-US" w:eastAsia="zh-CN" w:bidi="ar-SA"/>
        </w:rPr>
        <w:t>年内（202</w:t>
      </w:r>
      <w:r>
        <w:rPr>
          <w:rFonts w:hint="eastAsia" w:cs="Times New Roman"/>
          <w:bCs w:val="0"/>
          <w:color w:val="auto"/>
          <w:kern w:val="2"/>
          <w:sz w:val="21"/>
          <w:szCs w:val="21"/>
          <w:highlight w:val="none"/>
          <w:lang w:val="en-US" w:eastAsia="zh-CN" w:bidi="ar-SA"/>
        </w:rPr>
        <w:t>3</w:t>
      </w:r>
      <w:r>
        <w:rPr>
          <w:rFonts w:hint="eastAsia" w:ascii="Arial" w:hAnsi="Arial" w:eastAsia="宋体" w:cs="Times New Roman"/>
          <w:bCs w:val="0"/>
          <w:color w:val="auto"/>
          <w:kern w:val="2"/>
          <w:sz w:val="21"/>
          <w:szCs w:val="21"/>
          <w:highlight w:val="none"/>
          <w:lang w:val="en-US" w:eastAsia="zh-CN" w:bidi="ar-SA"/>
        </w:rPr>
        <w:t>年</w:t>
      </w:r>
      <w:r>
        <w:rPr>
          <w:rFonts w:hint="eastAsia" w:cs="Times New Roman"/>
          <w:bCs w:val="0"/>
          <w:color w:val="auto"/>
          <w:kern w:val="2"/>
          <w:sz w:val="21"/>
          <w:szCs w:val="21"/>
          <w:highlight w:val="none"/>
          <w:lang w:val="en-US" w:eastAsia="zh-CN" w:bidi="ar-SA"/>
        </w:rPr>
        <w:t>2025</w:t>
      </w:r>
      <w:r>
        <w:rPr>
          <w:rFonts w:hint="eastAsia" w:ascii="Arial" w:hAnsi="Arial" w:eastAsia="宋体" w:cs="Times New Roman"/>
          <w:bCs w:val="0"/>
          <w:color w:val="auto"/>
          <w:kern w:val="2"/>
          <w:sz w:val="21"/>
          <w:szCs w:val="21"/>
          <w:highlight w:val="none"/>
          <w:lang w:val="en-US" w:eastAsia="zh-CN" w:bidi="ar-SA"/>
        </w:rPr>
        <w:t>）</w:t>
      </w:r>
      <w:r>
        <w:rPr>
          <w:rFonts w:hint="eastAsia" w:cs="Times New Roman"/>
          <w:b/>
          <w:bCs/>
          <w:color w:val="auto"/>
          <w:kern w:val="2"/>
          <w:sz w:val="21"/>
          <w:szCs w:val="21"/>
          <w:highlight w:val="none"/>
          <w:lang w:val="en-US" w:eastAsia="zh-CN" w:bidi="ar-SA"/>
        </w:rPr>
        <w:t>连续三年</w:t>
      </w:r>
      <w:r>
        <w:rPr>
          <w:rFonts w:hint="eastAsia" w:ascii="Arial" w:hAnsi="Arial" w:eastAsia="宋体" w:cs="Times New Roman"/>
          <w:b/>
          <w:bCs/>
          <w:color w:val="auto"/>
          <w:kern w:val="2"/>
          <w:sz w:val="21"/>
          <w:szCs w:val="21"/>
          <w:highlight w:val="none"/>
          <w:lang w:val="en-US" w:eastAsia="zh-CN" w:bidi="ar-SA"/>
        </w:rPr>
        <w:t>相同</w:t>
      </w:r>
      <w:r>
        <w:rPr>
          <w:rFonts w:hint="eastAsia" w:cs="Times New Roman"/>
          <w:b/>
          <w:bCs/>
          <w:color w:val="auto"/>
          <w:kern w:val="2"/>
          <w:sz w:val="21"/>
          <w:szCs w:val="21"/>
          <w:highlight w:val="none"/>
          <w:lang w:val="en-US" w:eastAsia="zh-CN" w:bidi="ar-SA"/>
        </w:rPr>
        <w:t>或类似</w:t>
      </w:r>
      <w:r>
        <w:rPr>
          <w:rFonts w:hint="eastAsia" w:ascii="Arial" w:hAnsi="Arial" w:eastAsia="宋体" w:cs="Times New Roman"/>
          <w:b/>
          <w:bCs/>
          <w:color w:val="auto"/>
          <w:kern w:val="2"/>
          <w:sz w:val="21"/>
          <w:szCs w:val="21"/>
          <w:highlight w:val="none"/>
          <w:lang w:val="en-US" w:eastAsia="zh-CN" w:bidi="ar-SA"/>
        </w:rPr>
        <w:t>产品</w:t>
      </w:r>
      <w:r>
        <w:rPr>
          <w:rFonts w:hint="eastAsia" w:cs="Times New Roman"/>
          <w:b/>
          <w:bCs/>
          <w:color w:val="auto"/>
          <w:kern w:val="2"/>
          <w:sz w:val="21"/>
          <w:szCs w:val="21"/>
          <w:highlight w:val="none"/>
          <w:lang w:val="en-US" w:eastAsia="zh-CN" w:bidi="ar-SA"/>
        </w:rPr>
        <w:t>供货</w:t>
      </w:r>
      <w:r>
        <w:rPr>
          <w:rFonts w:hint="eastAsia" w:ascii="Arial" w:hAnsi="Arial" w:eastAsia="宋体" w:cs="Times New Roman"/>
          <w:b/>
          <w:bCs/>
          <w:color w:val="auto"/>
          <w:kern w:val="2"/>
          <w:sz w:val="21"/>
          <w:szCs w:val="21"/>
          <w:highlight w:val="none"/>
          <w:lang w:val="en-US" w:eastAsia="zh-CN" w:bidi="ar-SA"/>
        </w:rPr>
        <w:t>业绩</w:t>
      </w:r>
      <w:r>
        <w:rPr>
          <w:rFonts w:hint="eastAsia" w:ascii="Arial" w:hAnsi="Arial" w:eastAsia="宋体" w:cs="Times New Roman"/>
          <w:bCs w:val="0"/>
          <w:color w:val="auto"/>
          <w:kern w:val="2"/>
          <w:sz w:val="21"/>
          <w:szCs w:val="21"/>
          <w:highlight w:val="none"/>
          <w:lang w:val="en-US" w:eastAsia="zh-CN" w:bidi="ar-SA"/>
        </w:rPr>
        <w:t>，在</w:t>
      </w:r>
      <w:r>
        <w:rPr>
          <w:rFonts w:hint="eastAsia" w:cs="Times New Roman"/>
          <w:bCs w:val="0"/>
          <w:color w:val="auto"/>
          <w:kern w:val="2"/>
          <w:sz w:val="21"/>
          <w:szCs w:val="21"/>
          <w:highlight w:val="none"/>
          <w:lang w:val="en-US" w:eastAsia="zh-CN" w:bidi="ar-SA"/>
        </w:rPr>
        <w:t>使用</w:t>
      </w:r>
      <w:r>
        <w:rPr>
          <w:rFonts w:hint="eastAsia" w:ascii="Arial" w:hAnsi="Arial" w:eastAsia="宋体" w:cs="Times New Roman"/>
          <w:bCs w:val="0"/>
          <w:color w:val="auto"/>
          <w:kern w:val="2"/>
          <w:sz w:val="21"/>
          <w:szCs w:val="21"/>
          <w:highlight w:val="none"/>
          <w:lang w:val="en-US" w:eastAsia="zh-CN" w:bidi="ar-SA"/>
        </w:rPr>
        <w:t>过程中未发现质量问题。业绩证明材料至少包括供货合同及供货发票</w:t>
      </w:r>
      <w:r>
        <w:rPr>
          <w:rFonts w:hint="eastAsia" w:cs="Times New Roman"/>
          <w:bCs w:val="0"/>
          <w:color w:val="auto"/>
          <w:kern w:val="2"/>
          <w:sz w:val="21"/>
          <w:szCs w:val="21"/>
          <w:highlight w:val="none"/>
          <w:lang w:val="en-US" w:eastAsia="zh-CN" w:bidi="ar-SA"/>
        </w:rPr>
        <w:t>。</w:t>
      </w:r>
      <w:r>
        <w:rPr>
          <w:rFonts w:hint="eastAsia" w:ascii="Arial" w:hAnsi="Arial" w:eastAsia="宋体" w:cs="Times New Roman"/>
          <w:bCs w:val="0"/>
          <w:color w:val="auto"/>
          <w:kern w:val="2"/>
          <w:sz w:val="21"/>
          <w:szCs w:val="21"/>
          <w:highlight w:val="none"/>
          <w:lang w:val="en-US" w:eastAsia="zh-CN" w:bidi="ar-SA"/>
        </w:rPr>
        <w:t>投标文件如不提供有效的业绩证明材料</w:t>
      </w:r>
      <w:r>
        <w:rPr>
          <w:rFonts w:hint="eastAsia" w:cs="Times New Roman"/>
          <w:bCs w:val="0"/>
          <w:color w:val="auto"/>
          <w:kern w:val="2"/>
          <w:sz w:val="21"/>
          <w:szCs w:val="21"/>
          <w:highlight w:val="none"/>
          <w:lang w:val="en-US" w:eastAsia="zh-CN" w:bidi="ar-SA"/>
        </w:rPr>
        <w:t>或业绩证明材料模糊无法分辨</w:t>
      </w:r>
      <w:r>
        <w:rPr>
          <w:rFonts w:hint="eastAsia" w:ascii="Arial" w:hAnsi="Arial" w:eastAsia="宋体" w:cs="Times New Roman"/>
          <w:bCs w:val="0"/>
          <w:color w:val="auto"/>
          <w:kern w:val="2"/>
          <w:sz w:val="21"/>
          <w:szCs w:val="21"/>
          <w:highlight w:val="none"/>
          <w:lang w:val="en-US" w:eastAsia="zh-CN" w:bidi="ar-SA"/>
        </w:rPr>
        <w:t>，引起的不利后果由投标人自行承担。</w:t>
      </w:r>
    </w:p>
    <w:p w14:paraId="0F1A9351">
      <w:pPr>
        <w:pStyle w:val="11"/>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3.6本次招标不接受联合体投标。</w:t>
      </w:r>
    </w:p>
    <w:p w14:paraId="492219EA">
      <w:pPr>
        <w:pStyle w:val="11"/>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3.7本项目不接受被山东钢铁集团有限公司及权属单位列入合作异常名录的</w:t>
      </w:r>
      <w:r>
        <w:rPr>
          <w:rFonts w:hint="eastAsia" w:eastAsia="宋体" w:cs="Times New Roman"/>
          <w:bCs w:val="0"/>
          <w:color w:val="auto"/>
          <w:kern w:val="2"/>
          <w:sz w:val="21"/>
          <w:szCs w:val="21"/>
          <w:highlight w:val="none"/>
          <w:lang w:val="en-US" w:eastAsia="zh-CN" w:bidi="ar-SA"/>
        </w:rPr>
        <w:t>投标人</w:t>
      </w:r>
      <w:r>
        <w:rPr>
          <w:rFonts w:hint="eastAsia" w:ascii="Arial" w:hAnsi="Arial" w:eastAsia="宋体" w:cs="Times New Roman"/>
          <w:bCs w:val="0"/>
          <w:color w:val="auto"/>
          <w:kern w:val="2"/>
          <w:sz w:val="21"/>
          <w:szCs w:val="21"/>
          <w:highlight w:val="none"/>
          <w:lang w:val="en-US" w:eastAsia="zh-CN" w:bidi="ar-SA"/>
        </w:rPr>
        <w:t>投标。</w:t>
      </w:r>
    </w:p>
    <w:p w14:paraId="474B8D84">
      <w:pPr>
        <w:pStyle w:val="11"/>
        <w:adjustRightInd/>
        <w:snapToGrid/>
        <w:ind w:firstLine="420"/>
        <w:rPr>
          <w:rFonts w:hint="eastAsia" w:ascii="Arial" w:hAnsi="Arial" w:eastAsia="宋体" w:cs="Times New Roman"/>
          <w:bCs w:val="0"/>
          <w:color w:val="auto"/>
          <w:kern w:val="2"/>
          <w:sz w:val="21"/>
          <w:szCs w:val="21"/>
          <w:highlight w:val="none"/>
          <w:lang w:val="en-US" w:eastAsia="zh-CN" w:bidi="ar-SA"/>
        </w:rPr>
      </w:pPr>
      <w:r>
        <w:rPr>
          <w:rFonts w:hint="eastAsia" w:ascii="Arial" w:hAnsi="Arial" w:eastAsia="宋体" w:cs="Times New Roman"/>
          <w:bCs w:val="0"/>
          <w:color w:val="auto"/>
          <w:kern w:val="2"/>
          <w:sz w:val="21"/>
          <w:szCs w:val="21"/>
          <w:highlight w:val="none"/>
          <w:lang w:val="en-US" w:eastAsia="zh-CN" w:bidi="ar-SA"/>
        </w:rPr>
        <w:t>注：本项目实行资格后审，投标人从招标代理机构处得到招标文件，不代表通过资格审查。</w:t>
      </w:r>
    </w:p>
    <w:p w14:paraId="56031E80">
      <w:pPr>
        <w:pStyle w:val="3"/>
        <w:adjustRightInd/>
        <w:snapToGrid/>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、网上报名与招标文件的获取</w:t>
      </w:r>
    </w:p>
    <w:p w14:paraId="3DD0D706">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sz w:val="21"/>
          <w:szCs w:val="21"/>
          <w:highlight w:val="none"/>
          <w:lang w:eastAsia="zh-CN"/>
        </w:rPr>
      </w:pPr>
      <w:r>
        <w:rPr>
          <w:rFonts w:ascii="宋体" w:hAnsi="宋体" w:eastAsia="宋体"/>
          <w:color w:val="auto"/>
          <w:sz w:val="21"/>
          <w:szCs w:val="21"/>
          <w:highlight w:val="none"/>
          <w:lang w:eastAsia="zh-CN"/>
        </w:rPr>
        <w:t>凡有意参加投标者，请于202</w:t>
      </w:r>
      <w:r>
        <w:rPr>
          <w:rFonts w:hint="eastAsia" w:ascii="宋体" w:hAnsi="宋体"/>
          <w:color w:val="auto"/>
          <w:sz w:val="21"/>
          <w:szCs w:val="21"/>
          <w:highlight w:val="none"/>
          <w:lang w:val="en-US" w:eastAsia="zh-CN"/>
        </w:rPr>
        <w:t>6</w:t>
      </w:r>
      <w:r>
        <w:rPr>
          <w:rFonts w:ascii="宋体" w:hAnsi="宋体" w:eastAsia="宋体"/>
          <w:color w:val="auto"/>
          <w:sz w:val="21"/>
          <w:szCs w:val="21"/>
          <w:highlight w:val="none"/>
          <w:lang w:eastAsia="zh-CN"/>
        </w:rPr>
        <w:t>年</w:t>
      </w:r>
      <w:r>
        <w:rPr>
          <w:rFonts w:hint="eastAsia" w:ascii="宋体" w:hAnsi="宋体"/>
          <w:color w:val="auto"/>
          <w:sz w:val="21"/>
          <w:szCs w:val="21"/>
          <w:highlight w:val="none"/>
          <w:lang w:val="en-US" w:eastAsia="zh-CN"/>
        </w:rPr>
        <w:t>3</w:t>
      </w:r>
      <w:r>
        <w:rPr>
          <w:rFonts w:ascii="宋体" w:hAnsi="宋体" w:eastAsia="宋体"/>
          <w:color w:val="auto"/>
          <w:sz w:val="21"/>
          <w:szCs w:val="21"/>
          <w:highlight w:val="none"/>
          <w:lang w:eastAsia="zh-CN"/>
        </w:rPr>
        <w:t>月</w:t>
      </w:r>
      <w:r>
        <w:rPr>
          <w:rFonts w:hint="eastAsia" w:ascii="宋体" w:hAnsi="宋体"/>
          <w:color w:val="auto"/>
          <w:sz w:val="21"/>
          <w:szCs w:val="21"/>
          <w:highlight w:val="none"/>
          <w:lang w:val="en-US" w:eastAsia="zh-CN"/>
        </w:rPr>
        <w:t>24</w:t>
      </w:r>
      <w:r>
        <w:rPr>
          <w:rFonts w:ascii="宋体" w:hAnsi="宋体" w:eastAsia="宋体"/>
          <w:color w:val="auto"/>
          <w:sz w:val="21"/>
          <w:szCs w:val="21"/>
          <w:highlight w:val="none"/>
          <w:lang w:eastAsia="zh-CN"/>
        </w:rPr>
        <w:t>日起至20</w:t>
      </w:r>
      <w:r>
        <w:rPr>
          <w:rFonts w:hint="eastAsia" w:ascii="宋体" w:hAnsi="宋体" w:eastAsia="宋体"/>
          <w:color w:val="auto"/>
          <w:sz w:val="21"/>
          <w:szCs w:val="21"/>
          <w:highlight w:val="none"/>
          <w:lang w:val="en-US" w:eastAsia="zh-CN"/>
        </w:rPr>
        <w:t>2</w:t>
      </w:r>
      <w:r>
        <w:rPr>
          <w:rFonts w:hint="eastAsia" w:ascii="宋体" w:hAnsi="宋体"/>
          <w:color w:val="auto"/>
          <w:sz w:val="21"/>
          <w:szCs w:val="21"/>
          <w:highlight w:val="none"/>
          <w:lang w:val="en-US" w:eastAsia="zh-CN"/>
        </w:rPr>
        <w:t>6</w:t>
      </w:r>
      <w:r>
        <w:rPr>
          <w:rFonts w:ascii="宋体" w:hAnsi="宋体" w:eastAsia="宋体"/>
          <w:color w:val="auto"/>
          <w:sz w:val="21"/>
          <w:szCs w:val="21"/>
          <w:highlight w:val="none"/>
          <w:lang w:eastAsia="zh-CN"/>
        </w:rPr>
        <w:t>年</w:t>
      </w:r>
      <w:r>
        <w:rPr>
          <w:rFonts w:hint="eastAsia" w:ascii="宋体" w:hAnsi="宋体"/>
          <w:color w:val="auto"/>
          <w:sz w:val="21"/>
          <w:szCs w:val="21"/>
          <w:highlight w:val="none"/>
          <w:lang w:val="en-US" w:eastAsia="zh-CN"/>
        </w:rPr>
        <w:t>3</w:t>
      </w:r>
      <w:r>
        <w:rPr>
          <w:rFonts w:ascii="宋体" w:hAnsi="宋体" w:eastAsia="宋体"/>
          <w:color w:val="auto"/>
          <w:sz w:val="21"/>
          <w:szCs w:val="21"/>
          <w:highlight w:val="none"/>
          <w:lang w:eastAsia="zh-CN"/>
        </w:rPr>
        <w:t>月</w:t>
      </w:r>
      <w:r>
        <w:rPr>
          <w:rFonts w:hint="eastAsia" w:ascii="宋体" w:hAnsi="宋体"/>
          <w:color w:val="auto"/>
          <w:sz w:val="21"/>
          <w:szCs w:val="21"/>
          <w:highlight w:val="none"/>
          <w:lang w:val="en-US" w:eastAsia="zh-CN"/>
        </w:rPr>
        <w:t>28</w:t>
      </w:r>
      <w:r>
        <w:rPr>
          <w:rFonts w:ascii="宋体" w:hAnsi="宋体" w:eastAsia="宋体"/>
          <w:color w:val="auto"/>
          <w:sz w:val="21"/>
          <w:szCs w:val="21"/>
          <w:highlight w:val="none"/>
          <w:lang w:eastAsia="zh-CN"/>
        </w:rPr>
        <w:t>日</w:t>
      </w:r>
      <w:r>
        <w:rPr>
          <w:rFonts w:hint="eastAsia" w:ascii="宋体" w:hAnsi="宋体" w:eastAsia="宋体"/>
          <w:color w:val="auto"/>
          <w:sz w:val="21"/>
          <w:szCs w:val="21"/>
          <w:highlight w:val="none"/>
          <w:lang w:val="en-US" w:eastAsia="zh-CN"/>
        </w:rPr>
        <w:t>18</w:t>
      </w:r>
      <w:r>
        <w:rPr>
          <w:rFonts w:ascii="宋体" w:hAnsi="宋体" w:eastAsia="宋体"/>
          <w:color w:val="auto"/>
          <w:sz w:val="21"/>
          <w:szCs w:val="21"/>
          <w:highlight w:val="none"/>
          <w:lang w:eastAsia="zh-CN"/>
        </w:rPr>
        <w:t>:00时止(北京时间，下同),注册</w:t>
      </w:r>
      <w:r>
        <w:rPr>
          <w:rFonts w:hint="eastAsia" w:ascii="宋体" w:hAnsi="宋体" w:eastAsia="宋体"/>
          <w:color w:val="auto"/>
          <w:sz w:val="21"/>
          <w:szCs w:val="21"/>
          <w:highlight w:val="none"/>
          <w:lang w:eastAsia="zh-CN"/>
        </w:rPr>
        <w:t>山东钢铁集团有限公司招标采购与拍卖管理信息平台</w:t>
      </w:r>
      <w:r>
        <w:rPr>
          <w:rFonts w:ascii="宋体" w:hAnsi="宋体" w:eastAsia="宋体"/>
          <w:color w:val="auto"/>
          <w:sz w:val="21"/>
          <w:szCs w:val="21"/>
          <w:highlight w:val="none"/>
          <w:lang w:eastAsia="zh-CN"/>
        </w:rPr>
        <w:t>报名</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同时将退款信息表（做为保证金的退款依据）发至项目经理邮箱，收到标书费和退款信息，经项目经理审核通过，投标人方可在网上下载</w:t>
      </w:r>
      <w:r>
        <w:rPr>
          <w:rFonts w:ascii="宋体" w:hAnsi="宋体" w:eastAsia="宋体"/>
          <w:color w:val="auto"/>
          <w:sz w:val="21"/>
          <w:szCs w:val="21"/>
          <w:highlight w:val="none"/>
          <w:lang w:eastAsia="zh-CN"/>
        </w:rPr>
        <w:t>电子招标文件</w:t>
      </w:r>
      <w:r>
        <w:rPr>
          <w:rFonts w:hint="eastAsia" w:ascii="宋体" w:hAnsi="宋体" w:eastAsia="宋体"/>
          <w:color w:val="auto"/>
          <w:sz w:val="21"/>
          <w:szCs w:val="21"/>
          <w:highlight w:val="none"/>
          <w:lang w:eastAsia="zh-CN"/>
        </w:rPr>
        <w:t>。</w:t>
      </w:r>
    </w:p>
    <w:p w14:paraId="5D15AC42">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olor w:val="auto"/>
          <w:sz w:val="21"/>
          <w:szCs w:val="21"/>
          <w:highlight w:val="none"/>
          <w:lang w:eastAsia="zh-CN"/>
        </w:rPr>
      </w:pPr>
      <w:r>
        <w:rPr>
          <w:rFonts w:ascii="宋体" w:hAnsi="宋体" w:eastAsia="宋体"/>
          <w:color w:val="auto"/>
          <w:sz w:val="21"/>
          <w:szCs w:val="21"/>
          <w:highlight w:val="none"/>
          <w:lang w:eastAsia="zh-CN"/>
        </w:rPr>
        <w:t>招标文件售价</w:t>
      </w:r>
      <w:r>
        <w:rPr>
          <w:rFonts w:hint="eastAsia" w:ascii="宋体" w:hAnsi="宋体"/>
          <w:color w:val="auto"/>
          <w:sz w:val="21"/>
          <w:szCs w:val="21"/>
          <w:highlight w:val="none"/>
          <w:lang w:val="en-US" w:eastAsia="zh-CN"/>
        </w:rPr>
        <w:t>400</w:t>
      </w:r>
      <w:r>
        <w:rPr>
          <w:rFonts w:ascii="宋体" w:hAnsi="宋体" w:eastAsia="宋体"/>
          <w:color w:val="auto"/>
          <w:sz w:val="21"/>
          <w:szCs w:val="21"/>
          <w:highlight w:val="none"/>
          <w:lang w:eastAsia="zh-CN"/>
        </w:rPr>
        <w:t>元</w:t>
      </w:r>
      <w:r>
        <w:rPr>
          <w:rFonts w:hint="eastAsia" w:ascii="宋体" w:hAnsi="宋体"/>
          <w:color w:val="auto"/>
          <w:sz w:val="21"/>
          <w:szCs w:val="21"/>
          <w:highlight w:val="none"/>
          <w:lang w:val="en-US" w:eastAsia="zh-CN"/>
        </w:rPr>
        <w:t>/标段</w:t>
      </w:r>
      <w:r>
        <w:rPr>
          <w:rFonts w:ascii="宋体" w:hAnsi="宋体" w:eastAsia="宋体"/>
          <w:color w:val="auto"/>
          <w:sz w:val="21"/>
          <w:szCs w:val="21"/>
          <w:highlight w:val="none"/>
          <w:lang w:eastAsia="zh-CN"/>
        </w:rPr>
        <w:t>，售后不退。</w:t>
      </w:r>
    </w:p>
    <w:p w14:paraId="745EEC17">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标书费的收款信息：</w:t>
      </w:r>
    </w:p>
    <w:p w14:paraId="05F170BA">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公司账户：山东时代工程咨询有限公司</w:t>
      </w:r>
    </w:p>
    <w:p w14:paraId="2D242C18">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开户银行：中信银行股份有限公司济南高新支行（行号302451037703）</w:t>
      </w:r>
    </w:p>
    <w:p w14:paraId="4E15D917">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账    号：8112501013500077377</w:t>
      </w:r>
    </w:p>
    <w:p w14:paraId="61EB52F6">
      <w:pPr>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eastAsia="zh-CN"/>
        </w:rPr>
        <w:t>汇 入 地：山东省济南市高新区</w:t>
      </w:r>
      <w:r>
        <w:rPr>
          <w:rFonts w:hint="eastAsia" w:ascii="宋体" w:hAnsi="宋体" w:eastAsia="宋体" w:cs="Times New Roman"/>
          <w:color w:val="auto"/>
          <w:sz w:val="21"/>
          <w:szCs w:val="21"/>
          <w:highlight w:val="none"/>
          <w:lang w:val="en-US" w:eastAsia="zh-CN"/>
        </w:rPr>
        <w:t> </w:t>
      </w:r>
    </w:p>
    <w:p w14:paraId="520FAF8A">
      <w:pPr>
        <w:pStyle w:val="11"/>
        <w:adjustRightInd/>
        <w:snapToGrid/>
        <w:ind w:left="0" w:leftChars="0" w:firstLine="0" w:firstLineChars="0"/>
        <w:rPr>
          <w:color w:val="000000" w:themeColor="text1"/>
          <w:highlight w:val="none"/>
          <w14:textFill>
            <w14:solidFill>
              <w14:schemeClr w14:val="tx1"/>
            </w14:solidFill>
          </w14:textFill>
        </w:rPr>
      </w:pPr>
      <w:r>
        <w:rPr>
          <w:rFonts w:hint="eastAsia" w:ascii="黑体" w:hAnsi="黑体" w:eastAsia="黑体"/>
          <w:bCs/>
          <w:color w:val="000000" w:themeColor="text1"/>
          <w:sz w:val="28"/>
          <w:szCs w:val="28"/>
          <w:highlight w:val="none"/>
          <w:lang w:val="en-US" w:eastAsia="zh-CN"/>
          <w14:textFill>
            <w14:solidFill>
              <w14:schemeClr w14:val="tx1"/>
            </w14:solidFill>
          </w14:textFill>
        </w:rPr>
        <w:t>五</w:t>
      </w:r>
      <w:r>
        <w:rPr>
          <w:rFonts w:hint="eastAsia" w:ascii="黑体" w:hAnsi="黑体" w:eastAsia="黑体"/>
          <w:bCs/>
          <w:color w:val="000000" w:themeColor="text1"/>
          <w:sz w:val="28"/>
          <w:szCs w:val="28"/>
          <w:highlight w:val="none"/>
          <w14:textFill>
            <w14:solidFill>
              <w14:schemeClr w14:val="tx1"/>
            </w14:solidFill>
          </w14:textFill>
        </w:rPr>
        <w:t>、投标文件的递交</w:t>
      </w:r>
    </w:p>
    <w:p w14:paraId="3D8DE825">
      <w:pPr>
        <w:shd w:val="clear" w:color="auto" w:fill="auto"/>
        <w:spacing w:line="360" w:lineRule="auto"/>
        <w:ind w:firstLine="420" w:firstLineChars="200"/>
        <w:rPr>
          <w:rFonts w:ascii="宋体" w:hAnsi="宋体" w:eastAsia="宋体"/>
          <w:color w:val="auto"/>
          <w:sz w:val="21"/>
          <w:szCs w:val="21"/>
          <w:highlight w:val="none"/>
          <w:lang w:eastAsia="zh-CN"/>
        </w:rPr>
      </w:pPr>
      <w:r>
        <w:rPr>
          <w:rFonts w:ascii="宋体" w:hAnsi="宋体" w:eastAsia="宋体"/>
          <w:color w:val="auto"/>
          <w:sz w:val="21"/>
          <w:szCs w:val="21"/>
          <w:highlight w:val="none"/>
          <w:lang w:eastAsia="zh-CN"/>
        </w:rPr>
        <w:t>5.1投标文件递交的截止时间（投标截止时间，下同）为202</w:t>
      </w:r>
      <w:r>
        <w:rPr>
          <w:rFonts w:hint="eastAsia" w:ascii="宋体" w:hAnsi="宋体"/>
          <w:color w:val="auto"/>
          <w:sz w:val="21"/>
          <w:szCs w:val="21"/>
          <w:highlight w:val="none"/>
          <w:lang w:val="en-US" w:eastAsia="zh-CN"/>
        </w:rPr>
        <w:t>6</w:t>
      </w:r>
      <w:r>
        <w:rPr>
          <w:rFonts w:ascii="宋体" w:hAnsi="宋体" w:eastAsia="宋体"/>
          <w:color w:val="auto"/>
          <w:sz w:val="21"/>
          <w:szCs w:val="21"/>
          <w:highlight w:val="none"/>
          <w:lang w:eastAsia="zh-CN"/>
        </w:rPr>
        <w:t>年</w:t>
      </w:r>
      <w:r>
        <w:rPr>
          <w:rFonts w:hint="eastAsia" w:ascii="宋体" w:hAnsi="宋体"/>
          <w:color w:val="auto"/>
          <w:sz w:val="21"/>
          <w:szCs w:val="21"/>
          <w:highlight w:val="none"/>
          <w:lang w:val="en-US" w:eastAsia="zh-CN"/>
        </w:rPr>
        <w:t>3</w:t>
      </w:r>
      <w:r>
        <w:rPr>
          <w:rFonts w:ascii="宋体" w:hAnsi="宋体" w:eastAsia="宋体"/>
          <w:color w:val="auto"/>
          <w:sz w:val="21"/>
          <w:szCs w:val="21"/>
          <w:highlight w:val="none"/>
          <w:lang w:eastAsia="zh-CN"/>
        </w:rPr>
        <w:t>月</w:t>
      </w:r>
      <w:r>
        <w:rPr>
          <w:rFonts w:hint="eastAsia" w:ascii="宋体" w:hAnsi="宋体"/>
          <w:color w:val="auto"/>
          <w:sz w:val="21"/>
          <w:szCs w:val="21"/>
          <w:highlight w:val="none"/>
          <w:lang w:val="en-US" w:eastAsia="zh-CN"/>
        </w:rPr>
        <w:t>30</w:t>
      </w:r>
      <w:r>
        <w:rPr>
          <w:rFonts w:hint="eastAsia" w:ascii="宋体" w:hAnsi="宋体" w:eastAsia="宋体"/>
          <w:color w:val="auto"/>
          <w:sz w:val="21"/>
          <w:szCs w:val="21"/>
          <w:highlight w:val="none"/>
          <w:lang w:eastAsia="zh-CN"/>
        </w:rPr>
        <w:t>日</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lang w:eastAsia="zh-CN"/>
        </w:rPr>
        <w:t>时00分</w:t>
      </w:r>
      <w:r>
        <w:rPr>
          <w:rFonts w:ascii="宋体" w:hAnsi="宋体" w:eastAsia="宋体"/>
          <w:color w:val="auto"/>
          <w:sz w:val="21"/>
          <w:szCs w:val="21"/>
          <w:highlight w:val="none"/>
          <w:lang w:eastAsia="zh-CN"/>
        </w:rPr>
        <w:t>，投标人应在截止时间前通过</w:t>
      </w:r>
      <w:r>
        <w:rPr>
          <w:rFonts w:hint="eastAsia" w:ascii="宋体" w:hAnsi="宋体" w:eastAsia="宋体"/>
          <w:color w:val="auto"/>
          <w:sz w:val="21"/>
          <w:szCs w:val="21"/>
          <w:highlight w:val="none"/>
          <w:lang w:eastAsia="zh-CN"/>
        </w:rPr>
        <w:t>山东钢铁集团有限公司招标采购与拍卖管理信息平台</w:t>
      </w:r>
      <w:r>
        <w:rPr>
          <w:rFonts w:ascii="宋体" w:hAnsi="宋体" w:eastAsia="宋体"/>
          <w:color w:val="auto"/>
          <w:sz w:val="21"/>
          <w:szCs w:val="21"/>
          <w:highlight w:val="none"/>
          <w:lang w:eastAsia="zh-CN"/>
        </w:rPr>
        <w:t>递交电子投标文件</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并将纸质版投标文件递交到开标现场</w:t>
      </w:r>
      <w:r>
        <w:rPr>
          <w:rFonts w:ascii="宋体" w:hAnsi="宋体" w:eastAsia="宋体"/>
          <w:color w:val="auto"/>
          <w:sz w:val="21"/>
          <w:szCs w:val="21"/>
          <w:highlight w:val="none"/>
          <w:lang w:eastAsia="zh-CN"/>
        </w:rPr>
        <w:t>。</w:t>
      </w:r>
    </w:p>
    <w:p w14:paraId="5B435E8F">
      <w:pPr>
        <w:pStyle w:val="7"/>
        <w:spacing w:beforeAutospacing="0" w:afterAutospacing="0" w:line="360" w:lineRule="auto"/>
        <w:ind w:firstLine="420" w:firstLineChars="200"/>
        <w:jc w:val="both"/>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网上投标步骤：</w:t>
      </w:r>
    </w:p>
    <w:p w14:paraId="78FF4D3D">
      <w:pPr>
        <w:numPr>
          <w:ilvl w:val="0"/>
          <w:numId w:val="0"/>
        </w:numPr>
        <w:jc w:val="both"/>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（1）登录网址：</w:t>
      </w:r>
      <w:r>
        <w:rPr>
          <w:rFonts w:hint="eastAsia" w:ascii="宋体" w:hAnsi="宋体" w:eastAsia="宋体" w:cs="宋体"/>
          <w:b w:val="0"/>
          <w:bCs/>
          <w:sz w:val="21"/>
          <w:szCs w:val="21"/>
          <w:lang w:val="en-US" w:eastAsia="zh-CN"/>
        </w:rPr>
        <w:fldChar w:fldCharType="begin"/>
      </w:r>
      <w:r>
        <w:rPr>
          <w:rFonts w:hint="eastAsia" w:ascii="宋体" w:hAnsi="宋体" w:eastAsia="宋体" w:cs="宋体"/>
          <w:b w:val="0"/>
          <w:bCs/>
          <w:sz w:val="21"/>
          <w:szCs w:val="21"/>
          <w:lang w:val="en-US" w:eastAsia="zh-CN"/>
        </w:rPr>
        <w:instrText xml:space="preserve"> HYPERLINK "http://bams.shansteelgroup.com，进入到下面界面" </w:instrText>
      </w:r>
      <w:r>
        <w:rPr>
          <w:rFonts w:hint="eastAsia" w:ascii="宋体" w:hAnsi="宋体" w:eastAsia="宋体" w:cs="宋体"/>
          <w:b w:val="0"/>
          <w:bCs/>
          <w:sz w:val="21"/>
          <w:szCs w:val="21"/>
          <w:lang w:val="en-US" w:eastAsia="zh-CN"/>
        </w:rPr>
        <w:fldChar w:fldCharType="separate"/>
      </w:r>
      <w:r>
        <w:rPr>
          <w:rStyle w:val="10"/>
          <w:rFonts w:hint="eastAsia" w:ascii="宋体" w:hAnsi="宋体" w:cs="宋体"/>
          <w:b w:val="0"/>
          <w:bCs/>
          <w:sz w:val="21"/>
          <w:szCs w:val="21"/>
          <w:lang w:val="en-US" w:eastAsia="zh-CN"/>
        </w:rPr>
        <w:t>https://bams.shansteelgroup.com/public/default.aspx?ReturnUrl=%2f</w:t>
      </w:r>
      <w:r>
        <w:rPr>
          <w:rStyle w:val="10"/>
          <w:rFonts w:hint="eastAsia" w:ascii="宋体" w:hAnsi="宋体" w:eastAsia="宋体" w:cs="宋体"/>
          <w:b w:val="0"/>
          <w:bCs/>
          <w:color w:val="auto"/>
          <w:sz w:val="21"/>
          <w:szCs w:val="21"/>
          <w:u w:val="none"/>
          <w:lang w:val="en-US" w:eastAsia="zh-CN"/>
        </w:rPr>
        <w:t>，</w:t>
      </w:r>
      <w:r>
        <w:rPr>
          <w:rStyle w:val="10"/>
          <w:rFonts w:hint="eastAsia" w:ascii="宋体" w:hAnsi="宋体" w:eastAsia="宋体" w:cs="宋体"/>
          <w:b w:val="0"/>
          <w:bCs/>
          <w:color w:val="000000"/>
          <w:sz w:val="21"/>
          <w:szCs w:val="21"/>
          <w:u w:val="none"/>
          <w:lang w:val="en-US" w:eastAsia="zh-CN"/>
        </w:rPr>
        <w:t>进入到下面界面</w:t>
      </w:r>
      <w:r>
        <w:rPr>
          <w:rFonts w:hint="eastAsia" w:ascii="宋体" w:hAnsi="宋体" w:eastAsia="宋体" w:cs="宋体"/>
          <w:b w:val="0"/>
          <w:bCs/>
          <w:sz w:val="21"/>
          <w:szCs w:val="21"/>
          <w:lang w:val="en-US" w:eastAsia="zh-CN"/>
        </w:rPr>
        <w:fldChar w:fldCharType="end"/>
      </w:r>
    </w:p>
    <w:p w14:paraId="7B01ED37">
      <w:pPr>
        <w:numPr>
          <w:ilvl w:val="0"/>
          <w:numId w:val="0"/>
        </w:num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5"/>
                    <a:stretch>
                      <a:fillRect/>
                    </a:stretch>
                  </pic:blipFill>
                  <pic:spPr>
                    <a:xfrm>
                      <a:off x="0" y="0"/>
                      <a:ext cx="6043930" cy="3249930"/>
                    </a:xfrm>
                    <a:prstGeom prst="rect">
                      <a:avLst/>
                    </a:prstGeom>
                    <a:noFill/>
                    <a:ln>
                      <a:noFill/>
                    </a:ln>
                  </pic:spPr>
                </pic:pic>
              </a:graphicData>
            </a:graphic>
          </wp:inline>
        </w:drawing>
      </w:r>
    </w:p>
    <w:p w14:paraId="701041F3">
      <w:pPr>
        <w:numPr>
          <w:ilvl w:val="0"/>
          <w:numId w:val="0"/>
        </w:numPr>
        <w:spacing w:line="360" w:lineRule="auto"/>
        <w:ind w:leftChars="0" w:firstLine="420" w:firstLineChars="2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在上图左侧供应商入口处依次输入用户名、密码、验证码后，点击登录。</w:t>
      </w:r>
    </w:p>
    <w:p w14:paraId="18EDD10F">
      <w:pPr>
        <w:numPr>
          <w:ilvl w:val="0"/>
          <w:numId w:val="0"/>
        </w:numPr>
        <w:spacing w:line="36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（2）点击“招标文件”后显示如下：</w:t>
      </w:r>
    </w:p>
    <w:p w14:paraId="20B086F5">
      <w:pPr>
        <w:numPr>
          <w:ilvl w:val="0"/>
          <w:numId w:val="0"/>
        </w:numPr>
        <w:ind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drawing>
          <wp:inline distT="0" distB="0" distL="114300" distR="114300">
            <wp:extent cx="6175375" cy="2835275"/>
            <wp:effectExtent l="0" t="0" r="9525" b="952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6"/>
                    <a:stretch>
                      <a:fillRect/>
                    </a:stretch>
                  </pic:blipFill>
                  <pic:spPr>
                    <a:xfrm>
                      <a:off x="0" y="0"/>
                      <a:ext cx="6175375" cy="2835275"/>
                    </a:xfrm>
                    <a:prstGeom prst="rect">
                      <a:avLst/>
                    </a:prstGeom>
                    <a:noFill/>
                    <a:ln>
                      <a:noFill/>
                    </a:ln>
                  </pic:spPr>
                </pic:pic>
              </a:graphicData>
            </a:graphic>
          </wp:inline>
        </w:drawing>
      </w:r>
    </w:p>
    <w:p w14:paraId="1EBE15B6">
      <w:pPr>
        <w:numPr>
          <w:ilvl w:val="0"/>
          <w:numId w:val="0"/>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（3）点击上图右侧的红色圈定的“招标文件下载”，进入下面界面</w:t>
      </w:r>
    </w:p>
    <w:p w14:paraId="7231478B">
      <w:pPr>
        <w:numPr>
          <w:ilvl w:val="0"/>
          <w:numId w:val="0"/>
        </w:numPr>
        <w:ind w:leftChars="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drawing>
          <wp:inline distT="0" distB="0" distL="114300" distR="114300">
            <wp:extent cx="6101715" cy="2366010"/>
            <wp:effectExtent l="0" t="0" r="6985" b="889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7"/>
                    <a:stretch>
                      <a:fillRect/>
                    </a:stretch>
                  </pic:blipFill>
                  <pic:spPr>
                    <a:xfrm>
                      <a:off x="0" y="0"/>
                      <a:ext cx="6101715" cy="2366010"/>
                    </a:xfrm>
                    <a:prstGeom prst="rect">
                      <a:avLst/>
                    </a:prstGeom>
                    <a:noFill/>
                    <a:ln>
                      <a:noFill/>
                    </a:ln>
                  </pic:spPr>
                </pic:pic>
              </a:graphicData>
            </a:graphic>
          </wp:inline>
        </w:drawing>
      </w:r>
    </w:p>
    <w:p w14:paraId="378EF825">
      <w:pPr>
        <w:numPr>
          <w:ilvl w:val="0"/>
          <w:numId w:val="0"/>
        </w:numPr>
        <w:spacing w:line="36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（4）点击上图中的“下载”，下载采购文件，并仔细阅读，报价单需盖章扫描。</w:t>
      </w:r>
    </w:p>
    <w:p w14:paraId="1B5BE9B2">
      <w:pPr>
        <w:numPr>
          <w:ilvl w:val="0"/>
          <w:numId w:val="0"/>
        </w:numPr>
        <w:spacing w:line="36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（5）点击下图中的“网上投标”，显示如下：</w:t>
      </w:r>
    </w:p>
    <w:p w14:paraId="4AC06388">
      <w:pPr>
        <w:numPr>
          <w:ilvl w:val="0"/>
          <w:numId w:val="0"/>
        </w:numPr>
        <w:ind w:left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inline distT="0" distB="0" distL="114300" distR="114300">
            <wp:extent cx="6028055" cy="3338195"/>
            <wp:effectExtent l="0" t="0" r="4445" b="1905"/>
            <wp:docPr id="1"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582681945(1)"/>
                    <pic:cNvPicPr>
                      <a:picLocks noChangeAspect="1"/>
                    </pic:cNvPicPr>
                  </pic:nvPicPr>
                  <pic:blipFill>
                    <a:blip r:embed="rId8"/>
                    <a:stretch>
                      <a:fillRect/>
                    </a:stretch>
                  </pic:blipFill>
                  <pic:spPr>
                    <a:xfrm>
                      <a:off x="0" y="0"/>
                      <a:ext cx="6028055" cy="3338195"/>
                    </a:xfrm>
                    <a:prstGeom prst="rect">
                      <a:avLst/>
                    </a:prstGeom>
                    <a:noFill/>
                    <a:ln>
                      <a:noFill/>
                    </a:ln>
                  </pic:spPr>
                </pic:pic>
              </a:graphicData>
            </a:graphic>
          </wp:inline>
        </w:drawing>
      </w:r>
    </w:p>
    <w:p w14:paraId="6E8FA33C">
      <w:pPr>
        <w:numPr>
          <w:ilvl w:val="0"/>
          <w:numId w:val="0"/>
        </w:numPr>
        <w:spacing w:line="360" w:lineRule="auto"/>
        <w:ind w:left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（6）点击“投标制作”后，显示如下：</w:t>
      </w:r>
    </w:p>
    <w:p w14:paraId="5C0A2D25">
      <w:pPr>
        <w:numPr>
          <w:ilvl w:val="0"/>
          <w:numId w:val="0"/>
        </w:numPr>
        <w:ind w:leftChars="0"/>
        <w:jc w:val="center"/>
        <w:rPr>
          <w:rFonts w:hint="eastAsia" w:ascii="宋体" w:hAnsi="宋体" w:eastAsia="宋体" w:cs="宋体"/>
          <w:b w:val="0"/>
          <w:bCs w:val="0"/>
          <w:color w:val="000000"/>
          <w:sz w:val="21"/>
          <w:szCs w:val="21"/>
          <w:lang w:val="en-US" w:eastAsia="zh-CN"/>
        </w:rPr>
        <w:sectPr>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宋体" w:hAnsi="宋体" w:eastAsia="宋体" w:cs="宋体"/>
          <w:b w:val="0"/>
          <w:bCs w:val="0"/>
          <w:color w:val="000000"/>
          <w:sz w:val="21"/>
          <w:szCs w:val="21"/>
          <w:lang w:val="en-US" w:eastAsia="zh-CN"/>
        </w:rPr>
        <w:drawing>
          <wp:inline distT="0" distB="0" distL="114300" distR="114300">
            <wp:extent cx="6069330" cy="1654175"/>
            <wp:effectExtent l="0" t="0" r="1270" b="9525"/>
            <wp:docPr id="2"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556006507(1)"/>
                    <pic:cNvPicPr>
                      <a:picLocks noChangeAspect="1"/>
                    </pic:cNvPicPr>
                  </pic:nvPicPr>
                  <pic:blipFill>
                    <a:blip r:embed="rId9"/>
                    <a:stretch>
                      <a:fillRect/>
                    </a:stretch>
                  </pic:blipFill>
                  <pic:spPr>
                    <a:xfrm>
                      <a:off x="0" y="0"/>
                      <a:ext cx="6069330" cy="1654175"/>
                    </a:xfrm>
                    <a:prstGeom prst="rect">
                      <a:avLst/>
                    </a:prstGeom>
                    <a:noFill/>
                    <a:ln>
                      <a:noFill/>
                    </a:ln>
                  </pic:spPr>
                </pic:pic>
              </a:graphicData>
            </a:graphic>
          </wp:inline>
        </w:drawing>
      </w:r>
    </w:p>
    <w:p w14:paraId="058D7FF5">
      <w:pPr>
        <w:numPr>
          <w:ilvl w:val="0"/>
          <w:numId w:val="0"/>
        </w:numPr>
        <w:spacing w:line="360" w:lineRule="auto"/>
        <w:ind w:left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 在上图中点击右侧的“投标文件制作”，进入以下界面，并按下图中的步骤依次进行操作：</w:t>
      </w:r>
    </w:p>
    <w:p w14:paraId="44CDC79C">
      <w:pPr>
        <w:spacing w:line="360" w:lineRule="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0288" behindDoc="0" locked="0" layoutInCell="1" allowOverlap="1">
            <wp:simplePos x="0" y="0"/>
            <wp:positionH relativeFrom="column">
              <wp:posOffset>-337820</wp:posOffset>
            </wp:positionH>
            <wp:positionV relativeFrom="paragraph">
              <wp:posOffset>177800</wp:posOffset>
            </wp:positionV>
            <wp:extent cx="6388735" cy="3733800"/>
            <wp:effectExtent l="0" t="0" r="12065" b="0"/>
            <wp:wrapNone/>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0"/>
                    <a:stretch>
                      <a:fillRect/>
                    </a:stretch>
                  </pic:blipFill>
                  <pic:spPr>
                    <a:xfrm>
                      <a:off x="0" y="0"/>
                      <a:ext cx="6388735" cy="3733800"/>
                    </a:xfrm>
                    <a:prstGeom prst="rect">
                      <a:avLst/>
                    </a:prstGeom>
                    <a:noFill/>
                    <a:ln>
                      <a:noFill/>
                    </a:ln>
                  </pic:spPr>
                </pic:pic>
              </a:graphicData>
            </a:graphic>
          </wp:anchor>
        </w:drawing>
      </w:r>
      <w:r>
        <w:rPr>
          <w:rFonts w:hint="eastAsia" w:ascii="宋体" w:hAnsi="宋体" w:eastAsia="宋体" w:cs="宋体"/>
          <w:b w:val="0"/>
          <w:bCs w:val="0"/>
          <w:sz w:val="21"/>
          <w:szCs w:val="21"/>
          <w:lang w:val="en-US" w:eastAsia="zh-CN"/>
        </w:rPr>
        <w:br w:type="page"/>
      </w:r>
      <w:r>
        <w:rPr>
          <w:rFonts w:hint="eastAsia" w:ascii="宋体" w:hAnsi="宋体" w:eastAsia="宋体" w:cs="宋体"/>
          <w:b w:val="0"/>
          <w:bCs w:val="0"/>
          <w:sz w:val="21"/>
          <w:szCs w:val="21"/>
          <w:lang w:val="en-US" w:eastAsia="zh-CN"/>
        </w:rPr>
        <w:t>注：第3步只填写“单价”和“数量”两栏；</w:t>
      </w:r>
    </w:p>
    <w:p w14:paraId="0582F9AA">
      <w:pPr>
        <w:numPr>
          <w:ilvl w:val="0"/>
          <w:numId w:val="0"/>
        </w:numPr>
        <w:spacing w:line="360" w:lineRule="auto"/>
        <w:ind w:left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（8）以上操作完成后，竞价报价流程完成。完成后可点击“投标查询”，查看投标状态。</w:t>
      </w:r>
    </w:p>
    <w:p w14:paraId="6E52F205">
      <w:pPr>
        <w:numPr>
          <w:ilvl w:val="0"/>
          <w:numId w:val="0"/>
        </w:numPr>
        <w:spacing w:line="360" w:lineRule="auto"/>
        <w:ind w:left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1312" behindDoc="0" locked="0" layoutInCell="1" allowOverlap="1">
            <wp:simplePos x="0" y="0"/>
            <wp:positionH relativeFrom="column">
              <wp:posOffset>-568325</wp:posOffset>
            </wp:positionH>
            <wp:positionV relativeFrom="paragraph">
              <wp:posOffset>56515</wp:posOffset>
            </wp:positionV>
            <wp:extent cx="6814820" cy="1911350"/>
            <wp:effectExtent l="0" t="0" r="5080" b="6350"/>
            <wp:wrapTopAndBottom/>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1"/>
                    <a:stretch>
                      <a:fillRect/>
                    </a:stretch>
                  </pic:blipFill>
                  <pic:spPr>
                    <a:xfrm>
                      <a:off x="0" y="0"/>
                      <a:ext cx="6814820" cy="1911350"/>
                    </a:xfrm>
                    <a:prstGeom prst="rect">
                      <a:avLst/>
                    </a:prstGeom>
                    <a:noFill/>
                    <a:ln>
                      <a:noFill/>
                    </a:ln>
                  </pic:spPr>
                </pic:pic>
              </a:graphicData>
            </a:graphic>
          </wp:anchor>
        </w:drawing>
      </w:r>
      <w:r>
        <w:rPr>
          <w:rFonts w:hint="eastAsia" w:ascii="宋体" w:hAnsi="宋体" w:eastAsia="宋体" w:cs="宋体"/>
          <w:b w:val="0"/>
          <w:bCs w:val="0"/>
          <w:sz w:val="21"/>
          <w:szCs w:val="21"/>
          <w:lang w:val="en-US" w:eastAsia="zh-CN"/>
        </w:rPr>
        <w:t>（9）若需要重新投标，可点击“撤回投标”，进行重新操作。</w:t>
      </w:r>
    </w:p>
    <w:p w14:paraId="0183478D">
      <w:pPr>
        <w:pStyle w:val="11"/>
        <w:adjustRightInd/>
        <w:snapToGrid/>
        <w:ind w:left="0" w:leftChars="0" w:firstLine="0" w:firstLineChars="0"/>
        <w:rPr>
          <w:rFonts w:hint="eastAsia" w:ascii="黑体" w:hAnsi="黑体" w:eastAsia="黑体"/>
          <w:bCs/>
          <w:color w:val="000000" w:themeColor="text1"/>
          <w:sz w:val="28"/>
          <w:szCs w:val="28"/>
          <w:highlight w:val="none"/>
          <w14:textFill>
            <w14:solidFill>
              <w14:schemeClr w14:val="tx1"/>
            </w14:solidFill>
          </w14:textFill>
        </w:rPr>
      </w:pPr>
      <w:r>
        <w:rPr>
          <w:rFonts w:hint="eastAsia" w:ascii="黑体" w:hAnsi="黑体" w:eastAsia="黑体"/>
          <w:bCs/>
          <w:color w:val="000000" w:themeColor="text1"/>
          <w:sz w:val="28"/>
          <w:szCs w:val="28"/>
          <w:highlight w:val="none"/>
          <w:lang w:val="en-US" w:eastAsia="zh-CN"/>
          <w14:textFill>
            <w14:solidFill>
              <w14:schemeClr w14:val="tx1"/>
            </w14:solidFill>
          </w14:textFill>
        </w:rPr>
        <w:t>六</w:t>
      </w:r>
      <w:r>
        <w:rPr>
          <w:rFonts w:hint="eastAsia" w:ascii="黑体" w:hAnsi="黑体" w:eastAsia="黑体"/>
          <w:bCs/>
          <w:color w:val="000000" w:themeColor="text1"/>
          <w:sz w:val="28"/>
          <w:szCs w:val="28"/>
          <w:highlight w:val="none"/>
          <w14:textFill>
            <w14:solidFill>
              <w14:schemeClr w14:val="tx1"/>
            </w14:solidFill>
          </w14:textFill>
        </w:rPr>
        <w:t>、发布公告的媒介</w:t>
      </w:r>
    </w:p>
    <w:p w14:paraId="51043118">
      <w:pPr>
        <w:pStyle w:val="11"/>
        <w:keepNext w:val="0"/>
        <w:keepLines w:val="0"/>
        <w:pageBreakBefore w:val="0"/>
        <w:widowControl w:val="0"/>
        <w:kinsoku/>
        <w:wordWrap w:val="0"/>
        <w:overflowPunct/>
        <w:topLinePunct w:val="0"/>
        <w:autoSpaceDE/>
        <w:autoSpaceDN/>
        <w:bidi w:val="0"/>
        <w:adjustRightInd/>
        <w:snapToGrid/>
        <w:ind w:firstLine="420"/>
        <w:textAlignment w:val="auto"/>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本招标公告同时在山东钢铁集团有限公司招标采购与拍卖管理信息平台（</w:t>
      </w:r>
      <w:r>
        <w:rPr>
          <w:rFonts w:hint="eastAsia" w:ascii="宋体" w:hAnsi="宋体" w:cs="宋体"/>
          <w:color w:val="000000" w:themeColor="text1"/>
          <w:highlight w:val="none"/>
          <w:lang w:val="en-US" w:eastAsia="zh-CN"/>
          <w14:textFill>
            <w14:solidFill>
              <w14:schemeClr w14:val="tx1"/>
            </w14:solidFill>
          </w14:textFill>
        </w:rPr>
        <w:t>https://bams.shansteelgroup.com/public/default.aspx?ReturnUrl=%2f</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中国招标投标公共服务平台（www.cebpubservice.com）、山东省公共资源（国有产权）交易中心阳光采购服务平台（www.ygcgfw.com）</w:t>
      </w:r>
      <w:r>
        <w:rPr>
          <w:rFonts w:hint="eastAsia" w:ascii="宋体" w:hAnsi="宋体" w:cs="宋体"/>
          <w:color w:val="auto"/>
          <w:szCs w:val="21"/>
          <w:highlight w:val="none"/>
          <w:lang w:val="en-US" w:eastAsia="zh-CN"/>
        </w:rPr>
        <w:t>和</w:t>
      </w:r>
      <w:r>
        <w:rPr>
          <w:rFonts w:hint="eastAsia" w:ascii="宋体" w:hAnsi="宋体" w:eastAsia="宋体" w:cs="宋体"/>
          <w:i w:val="0"/>
          <w:iCs w:val="0"/>
          <w:caps w:val="0"/>
          <w:color w:val="auto"/>
          <w:spacing w:val="0"/>
          <w:sz w:val="21"/>
          <w:szCs w:val="21"/>
          <w:highlight w:val="none"/>
        </w:rPr>
        <w:t>山东时代工程咨询有限公司（http://www.sdsdzx.com/）</w:t>
      </w:r>
      <w:r>
        <w:rPr>
          <w:rFonts w:hint="eastAsia" w:ascii="宋体" w:hAnsi="宋体" w:cs="宋体"/>
          <w:i w:val="0"/>
          <w:iCs w:val="0"/>
          <w:caps w:val="0"/>
          <w:color w:val="auto"/>
          <w:spacing w:val="0"/>
          <w:sz w:val="21"/>
          <w:szCs w:val="21"/>
          <w:highlight w:val="none"/>
          <w:lang w:val="en-US" w:eastAsia="zh-CN"/>
        </w:rPr>
        <w:t>上发布。</w:t>
      </w:r>
    </w:p>
    <w:p w14:paraId="1B8C186B">
      <w:pPr>
        <w:pStyle w:val="11"/>
        <w:adjustRightInd/>
        <w:snapToGrid/>
        <w:ind w:firstLine="0" w:firstLineChars="0"/>
        <w:rPr>
          <w:rFonts w:hint="eastAsia" w:ascii="黑体" w:hAnsi="黑体" w:eastAsia="黑体"/>
          <w:bCs/>
          <w:color w:val="000000" w:themeColor="text1"/>
          <w:sz w:val="28"/>
          <w:szCs w:val="28"/>
          <w:highlight w:val="none"/>
          <w14:textFill>
            <w14:solidFill>
              <w14:schemeClr w14:val="tx1"/>
            </w14:solidFill>
          </w14:textFill>
        </w:rPr>
      </w:pPr>
      <w:r>
        <w:rPr>
          <w:rFonts w:hint="eastAsia" w:ascii="黑体" w:hAnsi="黑体" w:eastAsia="黑体"/>
          <w:bCs/>
          <w:color w:val="000000" w:themeColor="text1"/>
          <w:sz w:val="28"/>
          <w:szCs w:val="28"/>
          <w:highlight w:val="none"/>
          <w:lang w:val="en-US" w:eastAsia="zh-CN"/>
          <w14:textFill>
            <w14:solidFill>
              <w14:schemeClr w14:val="tx1"/>
            </w14:solidFill>
          </w14:textFill>
        </w:rPr>
        <w:t>七</w:t>
      </w:r>
      <w:r>
        <w:rPr>
          <w:rFonts w:hint="eastAsia" w:ascii="黑体" w:hAnsi="黑体" w:eastAsia="黑体"/>
          <w:bCs/>
          <w:color w:val="000000" w:themeColor="text1"/>
          <w:sz w:val="28"/>
          <w:szCs w:val="28"/>
          <w:highlight w:val="none"/>
          <w14:textFill>
            <w14:solidFill>
              <w14:schemeClr w14:val="tx1"/>
            </w14:solidFill>
          </w14:textFill>
        </w:rPr>
        <w:t>、监督部门</w:t>
      </w:r>
    </w:p>
    <w:p w14:paraId="41EBC269">
      <w:pPr>
        <w:pStyle w:val="11"/>
        <w:adjustRightInd/>
        <w:snapToGrid/>
        <w:ind w:firstLine="420"/>
        <w:rPr>
          <w:rFonts w:hint="eastAsia"/>
          <w:color w:val="auto"/>
          <w:highlight w:val="none"/>
        </w:rPr>
      </w:pPr>
      <w:r>
        <w:rPr>
          <w:rFonts w:hint="eastAsia" w:ascii="宋体" w:hAnsi="宋体"/>
          <w:color w:val="auto"/>
          <w:highlight w:val="none"/>
        </w:rPr>
        <w:t>本招标项目的监督部门为</w:t>
      </w:r>
      <w:r>
        <w:rPr>
          <w:rFonts w:hint="eastAsia"/>
          <w:color w:val="auto"/>
          <w:highlight w:val="none"/>
          <w:lang w:val="en-US" w:eastAsia="zh-CN"/>
        </w:rPr>
        <w:t>山东耐火材料集团有限公司。</w:t>
      </w:r>
    </w:p>
    <w:p w14:paraId="09A59A37">
      <w:pPr>
        <w:pStyle w:val="11"/>
        <w:adjustRightInd/>
        <w:snapToGrid/>
        <w:ind w:firstLine="420"/>
        <w:rPr>
          <w:rFonts w:hint="default" w:eastAsia="宋体"/>
          <w:color w:val="auto"/>
          <w:highlight w:val="none"/>
          <w:u w:val="single"/>
          <w:lang w:val="en-US" w:eastAsia="zh-CN"/>
        </w:rPr>
      </w:pPr>
      <w:r>
        <w:rPr>
          <w:rFonts w:hint="eastAsia"/>
          <w:color w:val="auto"/>
          <w:highlight w:val="none"/>
        </w:rPr>
        <w:t>监</w:t>
      </w:r>
      <w:r>
        <w:rPr>
          <w:rFonts w:hint="eastAsia" w:ascii="宋体" w:hAnsi="宋体" w:eastAsia="宋体" w:cs="宋体"/>
          <w:color w:val="auto"/>
          <w:highlight w:val="none"/>
        </w:rPr>
        <w:t>督电话：</w:t>
      </w:r>
      <w:r>
        <w:rPr>
          <w:rFonts w:hint="eastAsia" w:ascii="宋体" w:hAnsi="宋体"/>
          <w:color w:val="auto"/>
          <w:highlight w:val="none"/>
          <w:lang w:val="en-US" w:eastAsia="zh-CN"/>
        </w:rPr>
        <w:t>0533-4163023</w:t>
      </w:r>
    </w:p>
    <w:p w14:paraId="59FD01DA">
      <w:pPr>
        <w:pStyle w:val="11"/>
        <w:adjustRightInd/>
        <w:snapToGrid/>
        <w:ind w:firstLine="0" w:firstLineChars="0"/>
        <w:rPr>
          <w:rFonts w:hint="eastAsia" w:ascii="黑体" w:hAnsi="黑体" w:eastAsia="黑体"/>
          <w:bCs/>
          <w:color w:val="000000" w:themeColor="text1"/>
          <w:sz w:val="28"/>
          <w:szCs w:val="28"/>
          <w:highlight w:val="none"/>
          <w14:textFill>
            <w14:solidFill>
              <w14:schemeClr w14:val="tx1"/>
            </w14:solidFill>
          </w14:textFill>
        </w:rPr>
      </w:pPr>
      <w:r>
        <w:rPr>
          <w:rFonts w:hint="eastAsia" w:ascii="黑体" w:hAnsi="黑体" w:eastAsia="黑体"/>
          <w:bCs/>
          <w:color w:val="000000" w:themeColor="text1"/>
          <w:sz w:val="28"/>
          <w:szCs w:val="28"/>
          <w:highlight w:val="none"/>
          <w:lang w:val="en-US" w:eastAsia="zh-CN"/>
          <w14:textFill>
            <w14:solidFill>
              <w14:schemeClr w14:val="tx1"/>
            </w14:solidFill>
          </w14:textFill>
        </w:rPr>
        <w:t>八</w:t>
      </w:r>
      <w:r>
        <w:rPr>
          <w:rFonts w:hint="eastAsia" w:ascii="黑体" w:hAnsi="黑体" w:eastAsia="黑体"/>
          <w:bCs/>
          <w:color w:val="000000" w:themeColor="text1"/>
          <w:sz w:val="28"/>
          <w:szCs w:val="28"/>
          <w:highlight w:val="none"/>
          <w14:textFill>
            <w14:solidFill>
              <w14:schemeClr w14:val="tx1"/>
            </w14:solidFill>
          </w14:textFill>
        </w:rPr>
        <w:t>、联系方式</w:t>
      </w:r>
    </w:p>
    <w:p w14:paraId="543DC640">
      <w:pPr>
        <w:pStyle w:val="11"/>
        <w:adjustRightInd/>
        <w:snapToGrid/>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 标 人：</w:t>
      </w:r>
      <w:r>
        <w:rPr>
          <w:rFonts w:hint="eastAsia" w:ascii="宋体" w:hAnsi="宋体" w:eastAsia="宋体" w:cs="宋体"/>
          <w:color w:val="000000" w:themeColor="text1"/>
          <w:highlight w:val="none"/>
          <w:lang w:eastAsia="zh-CN"/>
          <w14:textFill>
            <w14:solidFill>
              <w14:schemeClr w14:val="tx1"/>
            </w14:solidFill>
          </w14:textFill>
        </w:rPr>
        <w:t>山东耐材集团鲁耐窑业有限公司</w:t>
      </w:r>
    </w:p>
    <w:p w14:paraId="798A54C8">
      <w:pPr>
        <w:pStyle w:val="11"/>
        <w:adjustRightInd/>
        <w:snapToGrid/>
        <w:ind w:firstLine="42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地址：淄博市博山区柳杭东路2号</w:t>
      </w:r>
    </w:p>
    <w:p w14:paraId="67C1C525">
      <w:pPr>
        <w:pStyle w:val="11"/>
        <w:adjustRightInd/>
        <w:snapToGrid/>
        <w:ind w:firstLine="42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联系人：李志杰</w:t>
      </w:r>
    </w:p>
    <w:p w14:paraId="4AD790ED">
      <w:pPr>
        <w:pStyle w:val="11"/>
        <w:adjustRightInd/>
        <w:snapToGrid/>
        <w:ind w:firstLine="42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电话：15954794751</w:t>
      </w:r>
      <w:r>
        <w:rPr>
          <w:rFonts w:hint="eastAsia" w:ascii="宋体" w:hAnsi="宋体" w:eastAsia="宋体" w:cs="宋体"/>
          <w:color w:val="000000" w:themeColor="text1"/>
          <w:highlight w:val="none"/>
          <w:lang w:eastAsia="zh-CN"/>
          <w14:textFill>
            <w14:solidFill>
              <w14:schemeClr w14:val="tx1"/>
            </w14:solidFill>
          </w14:textFill>
        </w:rPr>
        <w:t>　</w:t>
      </w:r>
    </w:p>
    <w:p w14:paraId="78B86673">
      <w:pPr>
        <w:pStyle w:val="11"/>
        <w:adjustRightInd/>
        <w:snapToGrid/>
        <w:ind w:firstLine="420"/>
        <w:rPr>
          <w:rFonts w:hint="eastAsia" w:ascii="宋体" w:hAnsi="宋体" w:eastAsia="宋体" w:cs="宋体"/>
          <w:color w:val="000000" w:themeColor="text1"/>
          <w:highlight w:val="none"/>
          <w14:textFill>
            <w14:solidFill>
              <w14:schemeClr w14:val="tx1"/>
            </w14:solidFill>
          </w14:textFill>
        </w:rPr>
      </w:pPr>
    </w:p>
    <w:p w14:paraId="2030E5C4">
      <w:pPr>
        <w:pStyle w:val="11"/>
        <w:adjustRightInd/>
        <w:snapToGrid/>
        <w:ind w:firstLine="42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招标代理机构：</w:t>
      </w:r>
      <w:r>
        <w:rPr>
          <w:rFonts w:hint="eastAsia" w:ascii="宋体" w:hAnsi="宋体" w:eastAsia="宋体" w:cs="宋体"/>
          <w:color w:val="000000" w:themeColor="text1"/>
          <w:highlight w:val="none"/>
          <w:lang w:eastAsia="zh-CN"/>
          <w14:textFill>
            <w14:solidFill>
              <w14:schemeClr w14:val="tx1"/>
            </w14:solidFill>
          </w14:textFill>
        </w:rPr>
        <w:t>山东时代工程咨询有限公司</w:t>
      </w:r>
    </w:p>
    <w:p w14:paraId="285B11A3">
      <w:pPr>
        <w:pStyle w:val="11"/>
        <w:adjustRightInd/>
        <w:snapToGrid/>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地址：济南市高新区舜华路2000号舜泰广场2号楼14层1401</w:t>
      </w:r>
    </w:p>
    <w:p w14:paraId="030A42F1">
      <w:pPr>
        <w:pStyle w:val="11"/>
        <w:adjustRightInd/>
        <w:snapToGrid/>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联系人：张先生</w:t>
      </w:r>
    </w:p>
    <w:p w14:paraId="7801B7A5">
      <w:pPr>
        <w:pStyle w:val="11"/>
        <w:adjustRightInd/>
        <w:snapToGrid/>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电话：18754708000</w:t>
      </w:r>
    </w:p>
    <w:p w14:paraId="6B6F07DC">
      <w:pPr>
        <w:pStyle w:val="11"/>
        <w:adjustRightInd/>
        <w:snapToGrid/>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电子邮箱：18754708000@163.com</w:t>
      </w:r>
    </w:p>
    <w:p w14:paraId="3C69B6E9">
      <w:pPr>
        <w:pStyle w:val="11"/>
        <w:ind w:firstLine="420"/>
        <w:jc w:val="right"/>
        <w:rPr>
          <w:rFonts w:hint="eastAsia" w:ascii="宋体" w:hAnsi="宋体"/>
          <w:color w:val="000000" w:themeColor="text1"/>
          <w:highlight w:val="none"/>
          <w:lang w:eastAsia="zh-CN"/>
          <w14:textFill>
            <w14:solidFill>
              <w14:schemeClr w14:val="tx1"/>
            </w14:solidFill>
          </w14:textFill>
        </w:rPr>
      </w:pPr>
    </w:p>
    <w:p w14:paraId="46418398">
      <w:pPr>
        <w:pStyle w:val="11"/>
        <w:ind w:firstLine="420"/>
        <w:jc w:val="right"/>
        <w:rPr>
          <w:rFonts w:hint="eastAsia" w:ascii="宋体" w:hAnsi="宋体"/>
          <w:color w:val="000000" w:themeColor="text1"/>
          <w:highlight w:val="none"/>
          <w:lang w:eastAsia="zh-CN"/>
          <w14:textFill>
            <w14:solidFill>
              <w14:schemeClr w14:val="tx1"/>
            </w14:solidFill>
          </w14:textFill>
        </w:rPr>
      </w:pPr>
    </w:p>
    <w:p w14:paraId="515E090D">
      <w:pPr>
        <w:pStyle w:val="11"/>
        <w:ind w:firstLine="420"/>
        <w:jc w:val="right"/>
        <w:rPr>
          <w:rFonts w:hint="eastAsia" w:ascii="宋体" w:hAnsi="宋体" w:eastAsia="宋体"/>
          <w:color w:val="000000" w:themeColor="text1"/>
          <w:sz w:val="15"/>
          <w:szCs w:val="15"/>
          <w:highlight w:val="none"/>
          <w:lang w:eastAsia="zh-CN"/>
          <w14:textFill>
            <w14:solidFill>
              <w14:schemeClr w14:val="tx1"/>
            </w14:solidFill>
          </w14:textFill>
        </w:rPr>
      </w:pPr>
      <w:r>
        <w:rPr>
          <w:rFonts w:hint="eastAsia" w:ascii="宋体" w:hAnsi="宋体"/>
          <w:color w:val="000000" w:themeColor="text1"/>
          <w:highlight w:val="none"/>
          <w:lang w:eastAsia="zh-CN"/>
          <w14:textFill>
            <w14:solidFill>
              <w14:schemeClr w14:val="tx1"/>
            </w14:solidFill>
          </w14:textFill>
        </w:rPr>
        <w:t>山东时代工程咨询有限公司</w:t>
      </w:r>
    </w:p>
    <w:p w14:paraId="535323B5">
      <w:pPr>
        <w:pStyle w:val="11"/>
        <w:wordWrap w:val="0"/>
        <w:ind w:firstLine="420"/>
        <w:jc w:val="right"/>
        <w:rPr>
          <w:rStyle w:val="12"/>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202</w:t>
      </w:r>
      <w:r>
        <w:rPr>
          <w:rFonts w:hint="eastAsia" w:ascii="宋体" w:hAnsi="宋体"/>
          <w:color w:val="000000" w:themeColor="text1"/>
          <w:highlight w:val="none"/>
          <w:lang w:val="en-US" w:eastAsia="zh-CN"/>
          <w14:textFill>
            <w14:solidFill>
              <w14:schemeClr w14:val="tx1"/>
            </w14:solidFill>
          </w14:textFill>
        </w:rPr>
        <w:t>6</w:t>
      </w:r>
      <w:r>
        <w:rPr>
          <w:rStyle w:val="12"/>
          <w:rFonts w:hint="eastAsia" w:ascii="宋体" w:hAnsi="宋体"/>
          <w:color w:val="000000" w:themeColor="text1"/>
          <w:highlight w:val="none"/>
          <w14:textFill>
            <w14:solidFill>
              <w14:schemeClr w14:val="tx1"/>
            </w14:solidFill>
          </w14:textFill>
        </w:rPr>
        <w:t>年</w:t>
      </w:r>
      <w:r>
        <w:rPr>
          <w:rStyle w:val="12"/>
          <w:rFonts w:hint="eastAsia" w:ascii="宋体" w:hAnsi="宋体"/>
          <w:color w:val="000000" w:themeColor="text1"/>
          <w:highlight w:val="none"/>
          <w:lang w:val="en-US" w:eastAsia="zh-CN"/>
          <w14:textFill>
            <w14:solidFill>
              <w14:schemeClr w14:val="tx1"/>
            </w14:solidFill>
          </w14:textFill>
        </w:rPr>
        <w:t>3</w:t>
      </w:r>
      <w:r>
        <w:rPr>
          <w:rStyle w:val="12"/>
          <w:rFonts w:hint="eastAsia" w:ascii="宋体" w:hAnsi="宋体"/>
          <w:color w:val="000000" w:themeColor="text1"/>
          <w:highlight w:val="none"/>
          <w14:textFill>
            <w14:solidFill>
              <w14:schemeClr w14:val="tx1"/>
            </w14:solidFill>
          </w14:textFill>
        </w:rPr>
        <w:t>月</w:t>
      </w:r>
      <w:r>
        <w:rPr>
          <w:rStyle w:val="12"/>
          <w:rFonts w:hint="eastAsia" w:ascii="宋体" w:hAnsi="宋体"/>
          <w:color w:val="000000" w:themeColor="text1"/>
          <w:highlight w:val="none"/>
          <w:lang w:val="en-US" w:eastAsia="zh-CN"/>
          <w14:textFill>
            <w14:solidFill>
              <w14:schemeClr w14:val="tx1"/>
            </w14:solidFill>
          </w14:textFill>
        </w:rPr>
        <w:t>24</w:t>
      </w:r>
      <w:r>
        <w:rPr>
          <w:rStyle w:val="12"/>
          <w:rFonts w:hint="eastAsia" w:ascii="宋体" w:hAnsi="宋体"/>
          <w:color w:val="000000" w:themeColor="text1"/>
          <w:highlight w:val="none"/>
          <w14:textFill>
            <w14:solidFill>
              <w14:schemeClr w14:val="tx1"/>
            </w14:solidFill>
          </w14:textFill>
        </w:rPr>
        <w:t>日</w:t>
      </w:r>
    </w:p>
    <w:p w14:paraId="4C2011CD">
      <w:pPr>
        <w:pStyle w:val="11"/>
        <w:ind w:firstLine="420"/>
        <w:jc w:val="right"/>
        <w:rPr>
          <w:rStyle w:val="12"/>
          <w:rFonts w:ascii="宋体" w:hAnsi="宋体"/>
          <w:color w:val="000000" w:themeColor="text1"/>
          <w:highlight w:val="none"/>
          <w14:textFill>
            <w14:solidFill>
              <w14:schemeClr w14:val="tx1"/>
            </w14:solidFill>
          </w14:textFill>
        </w:rPr>
      </w:pPr>
    </w:p>
    <w:p w14:paraId="2671F6A9">
      <w:pPr>
        <w:bidi w:val="0"/>
        <w:rPr>
          <w:rStyle w:val="12"/>
          <w:rFonts w:ascii="宋体" w:hAnsi="宋体"/>
          <w:color w:val="000000" w:themeColor="text1"/>
          <w:highlight w:val="none"/>
          <w14:textFill>
            <w14:solidFill>
              <w14:schemeClr w14:val="tx1"/>
            </w14:solidFill>
          </w14:textFill>
        </w:rPr>
      </w:pPr>
    </w:p>
    <w:p w14:paraId="708E477A">
      <w:pPr>
        <w:bidi w:val="0"/>
        <w:rPr>
          <w:rStyle w:val="12"/>
          <w:rFonts w:ascii="宋体" w:hAnsi="宋体"/>
          <w:color w:val="000000" w:themeColor="text1"/>
          <w:highlight w:val="none"/>
          <w14:textFill>
            <w14:solidFill>
              <w14:schemeClr w14:val="tx1"/>
            </w14:solidFill>
          </w14:textFill>
        </w:rPr>
      </w:pPr>
    </w:p>
    <w:p w14:paraId="19BA89D6">
      <w:pPr>
        <w:bidi w:val="0"/>
        <w:rPr>
          <w:rStyle w:val="12"/>
          <w:rFonts w:ascii="宋体" w:hAnsi="宋体"/>
          <w:color w:val="000000" w:themeColor="text1"/>
          <w:highlight w:val="none"/>
          <w14:textFill>
            <w14:solidFill>
              <w14:schemeClr w14:val="tx1"/>
            </w14:solidFill>
          </w14:textFill>
        </w:rPr>
      </w:pPr>
    </w:p>
    <w:p w14:paraId="7362A544">
      <w:pPr>
        <w:bidi w:val="0"/>
        <w:rPr>
          <w:rStyle w:val="12"/>
          <w:rFonts w:ascii="宋体" w:hAnsi="宋体"/>
          <w:color w:val="000000" w:themeColor="text1"/>
          <w:highlight w:val="none"/>
          <w14:textFill>
            <w14:solidFill>
              <w14:schemeClr w14:val="tx1"/>
            </w14:solidFill>
          </w14:textFill>
        </w:rPr>
      </w:pPr>
    </w:p>
    <w:p w14:paraId="4D07012C">
      <w:pPr>
        <w:bidi w:val="0"/>
        <w:rPr>
          <w:rStyle w:val="12"/>
          <w:rFonts w:ascii="宋体" w:hAnsi="宋体"/>
          <w:color w:val="000000" w:themeColor="text1"/>
          <w:highlight w:val="none"/>
          <w14:textFill>
            <w14:solidFill>
              <w14:schemeClr w14:val="tx1"/>
            </w14:solidFill>
          </w14:textFill>
        </w:rPr>
      </w:pPr>
    </w:p>
    <w:p w14:paraId="24B0298A">
      <w:pPr>
        <w:bidi w:val="0"/>
        <w:rPr>
          <w:rStyle w:val="12"/>
          <w:rFonts w:ascii="宋体" w:hAnsi="宋体"/>
          <w:color w:val="000000" w:themeColor="text1"/>
          <w:highlight w:val="none"/>
          <w14:textFill>
            <w14:solidFill>
              <w14:schemeClr w14:val="tx1"/>
            </w14:solidFill>
          </w14:textFill>
        </w:rPr>
      </w:pPr>
    </w:p>
    <w:p w14:paraId="375A8F98">
      <w:pPr>
        <w:bidi w:val="0"/>
        <w:rPr>
          <w:rStyle w:val="12"/>
          <w:rFonts w:ascii="宋体" w:hAnsi="宋体"/>
          <w:color w:val="000000" w:themeColor="text1"/>
          <w:highlight w:val="none"/>
          <w14:textFill>
            <w14:solidFill>
              <w14:schemeClr w14:val="tx1"/>
            </w14:solidFill>
          </w14:textFill>
        </w:rPr>
      </w:pPr>
    </w:p>
    <w:p w14:paraId="10E1857F">
      <w:pPr>
        <w:bidi w:val="0"/>
        <w:rPr>
          <w:rStyle w:val="12"/>
          <w:rFonts w:ascii="宋体" w:hAnsi="宋体"/>
          <w:color w:val="000000" w:themeColor="text1"/>
          <w:highlight w:val="none"/>
          <w14:textFill>
            <w14:solidFill>
              <w14:schemeClr w14:val="tx1"/>
            </w14:solidFill>
          </w14:textFill>
        </w:rPr>
      </w:pPr>
    </w:p>
    <w:p w14:paraId="0382A3D4">
      <w:pPr>
        <w:bidi w:val="0"/>
        <w:rPr>
          <w:rStyle w:val="12"/>
          <w:rFonts w:ascii="宋体" w:hAnsi="宋体"/>
          <w:color w:val="000000" w:themeColor="text1"/>
          <w:highlight w:val="none"/>
          <w14:textFill>
            <w14:solidFill>
              <w14:schemeClr w14:val="tx1"/>
            </w14:solidFill>
          </w14:textFill>
        </w:rPr>
      </w:pPr>
    </w:p>
    <w:p w14:paraId="708DEF54">
      <w:pPr>
        <w:bidi w:val="0"/>
        <w:rPr>
          <w:rStyle w:val="12"/>
          <w:rFonts w:ascii="宋体" w:hAnsi="宋体"/>
          <w:color w:val="000000" w:themeColor="text1"/>
          <w:highlight w:val="none"/>
          <w14:textFill>
            <w14:solidFill>
              <w14:schemeClr w14:val="tx1"/>
            </w14:solidFill>
          </w14:textFill>
        </w:rPr>
      </w:pPr>
    </w:p>
    <w:p w14:paraId="29B1CA12">
      <w:pPr>
        <w:bidi w:val="0"/>
        <w:rPr>
          <w:rStyle w:val="12"/>
          <w:rFonts w:ascii="宋体" w:hAnsi="宋体"/>
          <w:color w:val="000000" w:themeColor="text1"/>
          <w:highlight w:val="none"/>
          <w14:textFill>
            <w14:solidFill>
              <w14:schemeClr w14:val="tx1"/>
            </w14:solidFill>
          </w14:textFill>
        </w:rPr>
      </w:pPr>
    </w:p>
    <w:p w14:paraId="4C966C4B">
      <w:pPr>
        <w:bidi w:val="0"/>
        <w:rPr>
          <w:rStyle w:val="12"/>
          <w:rFonts w:ascii="宋体" w:hAnsi="宋体"/>
          <w:color w:val="000000" w:themeColor="text1"/>
          <w:highlight w:val="none"/>
          <w14:textFill>
            <w14:solidFill>
              <w14:schemeClr w14:val="tx1"/>
            </w14:solidFill>
          </w14:textFill>
        </w:rPr>
      </w:pPr>
    </w:p>
    <w:p w14:paraId="0AE4CB52">
      <w:pPr>
        <w:bidi w:val="0"/>
        <w:rPr>
          <w:rStyle w:val="12"/>
          <w:rFonts w:ascii="宋体" w:hAnsi="宋体"/>
          <w:color w:val="000000" w:themeColor="text1"/>
          <w:highlight w:val="none"/>
          <w14:textFill>
            <w14:solidFill>
              <w14:schemeClr w14:val="tx1"/>
            </w14:solidFill>
          </w14:textFill>
        </w:rPr>
      </w:pPr>
    </w:p>
    <w:p w14:paraId="52657FB8">
      <w:pPr>
        <w:bidi w:val="0"/>
        <w:rPr>
          <w:rStyle w:val="12"/>
          <w:rFonts w:ascii="宋体" w:hAnsi="宋体"/>
          <w:color w:val="000000" w:themeColor="text1"/>
          <w:highlight w:val="none"/>
          <w14:textFill>
            <w14:solidFill>
              <w14:schemeClr w14:val="tx1"/>
            </w14:solidFill>
          </w14:textFill>
        </w:rPr>
      </w:pPr>
    </w:p>
    <w:p w14:paraId="2F37B2A5">
      <w:pPr>
        <w:tabs>
          <w:tab w:val="left" w:pos="5994"/>
        </w:tabs>
        <w:bidi w:val="0"/>
        <w:jc w:val="left"/>
      </w:pPr>
      <w:r>
        <w:rPr>
          <w:rStyle w:val="12"/>
          <w:rFonts w:hint="eastAsia" w:ascii="宋体" w:hAnsi="宋体"/>
          <w:color w:val="000000" w:themeColor="text1"/>
          <w:highlight w:val="none"/>
          <w:lang w:eastAsia="zh-CN"/>
          <w14:textFill>
            <w14:solidFill>
              <w14:schemeClr w14:val="tx1"/>
            </w14:solidFill>
          </w14:textFill>
        </w:rPr>
        <w:tab/>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1B902">
    <w:pPr>
      <w:pStyle w:val="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771AB2">
                          <w:pPr>
                            <w:pStyle w:val="4"/>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ApLNud8BAADAAwAADgAAAAAA&#10;AAABACAAAAAeAQAAZHJzL2Uyb0RvYy54bWxQSwUGAAAAAAYABgBZAQAAbwUAAAAA&#10;">
              <v:fill on="f" focussize="0,0"/>
              <v:stroke on="f"/>
              <v:imagedata o:title=""/>
              <o:lock v:ext="edit" aspectratio="f"/>
              <v:textbox inset="0mm,0mm,0mm,0mm" style="mso-fit-shape-to-text:t;">
                <w:txbxContent>
                  <w:p w14:paraId="28771AB2">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30639F"/>
    <w:rsid w:val="38306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3"/>
    <w:basedOn w:val="1"/>
    <w:next w:val="1"/>
    <w:qFormat/>
    <w:uiPriority w:val="9"/>
    <w:pPr>
      <w:keepNext/>
      <w:keepLines/>
      <w:adjustRightInd w:val="0"/>
      <w:snapToGrid w:val="0"/>
      <w:spacing w:line="360" w:lineRule="auto"/>
      <w:jc w:val="center"/>
      <w:outlineLvl w:val="2"/>
    </w:pPr>
    <w:rPr>
      <w:rFonts w:ascii="Arial" w:hAnsi="Arial"/>
      <w:b/>
      <w:bCs/>
      <w:sz w:val="30"/>
      <w:szCs w:val="32"/>
    </w:rPr>
  </w:style>
  <w:style w:type="paragraph" w:styleId="3">
    <w:name w:val="heading 4"/>
    <w:basedOn w:val="1"/>
    <w:next w:val="1"/>
    <w:qFormat/>
    <w:uiPriority w:val="9"/>
    <w:pPr>
      <w:keepNext/>
      <w:keepLines/>
      <w:adjustRightInd w:val="0"/>
      <w:snapToGrid w:val="0"/>
      <w:spacing w:line="360" w:lineRule="auto"/>
      <w:jc w:val="left"/>
      <w:outlineLvl w:val="3"/>
    </w:pPr>
    <w:rPr>
      <w:rFonts w:ascii="黑体" w:hAnsi="黑体" w:eastAsia="黑体"/>
      <w:bCs/>
      <w:sz w:val="28"/>
      <w:szCs w:val="28"/>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adjustRightInd w:val="0"/>
      <w:snapToGrid w:val="0"/>
      <w:spacing w:line="360" w:lineRule="auto"/>
      <w:ind w:firstLine="200" w:firstLineChars="200"/>
      <w:jc w:val="center"/>
    </w:pPr>
    <w:rPr>
      <w:rFonts w:ascii="Arial" w:hAnsi="Arial"/>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6">
    <w:name w:val="List"/>
    <w:basedOn w:val="1"/>
    <w:qFormat/>
    <w:uiPriority w:val="0"/>
    <w:pPr>
      <w:ind w:left="420" w:hanging="420"/>
    </w:pPr>
    <w:rPr>
      <w:rFonts w:ascii="Calibri" w:hAnsi="Calibri" w:eastAsia="宋体"/>
      <w:sz w:val="27"/>
      <w:szCs w:val="20"/>
    </w:rPr>
  </w:style>
  <w:style w:type="paragraph" w:styleId="7">
    <w:name w:val="Normal (Web)"/>
    <w:basedOn w:val="1"/>
    <w:next w:val="5"/>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FollowedHyperlink"/>
    <w:basedOn w:val="9"/>
    <w:unhideWhenUsed/>
    <w:qFormat/>
    <w:uiPriority w:val="99"/>
    <w:rPr>
      <w:color w:val="4371B7"/>
      <w:u w:val="single"/>
    </w:rPr>
  </w:style>
  <w:style w:type="paragraph" w:customStyle="1" w:styleId="11">
    <w:name w:val="招标文件正文内容"/>
    <w:basedOn w:val="1"/>
    <w:qFormat/>
    <w:uiPriority w:val="0"/>
    <w:pPr>
      <w:adjustRightInd w:val="0"/>
      <w:snapToGrid w:val="0"/>
      <w:spacing w:line="360" w:lineRule="auto"/>
      <w:ind w:firstLine="200" w:firstLineChars="200"/>
      <w:jc w:val="left"/>
    </w:pPr>
    <w:rPr>
      <w:rFonts w:ascii="Arial" w:hAnsi="Arial" w:eastAsia="宋体"/>
    </w:rPr>
  </w:style>
  <w:style w:type="character" w:customStyle="1" w:styleId="12">
    <w:name w:val="标题 7 Char"/>
    <w:qFormat/>
    <w:uiPriority w:val="9"/>
    <w:rPr>
      <w:rFonts w:ascii="Arial" w:hAnsi="Arial" w:eastAsia="宋体" w:cs="Times New Roman"/>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2026-03-24T02:38:00Z</dcterms:created>
  <dc:creator>穿靴子行走的perfume喵</dc:creator>
  <cp:lastModifiedBy>穿靴子行走的perfume喵</cp:lastModifiedBy>
  <dcterms:modified xsi:type="dcterms:W3CDTF">2026-03-24T02:38:47Z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C7BB4CC4F58E4AA491F29EB7DAAFD917_11</vt:lpwstr>
  </property>
  <property fmtid="{D5CDD505-2E9C-101B-9397-08002B2CF9AE}" pid="4" name="KSOTemplateDocerSaveRecord">
    <vt:lpwstr>eyJoZGlkIjoiZmNmOTAwYjEyMjg2MTI3OTA1MWZkODZkMTg3NmJhYmUiLCJ1c2VySWQiOiI0NzYzMDYyOTQifQ==</vt:lpwstr>
  </property>
</Properties>
</file>